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032" w:rsidRPr="00273032" w:rsidRDefault="00273032" w:rsidP="00273032">
      <w:pPr>
        <w:keepNext/>
        <w:spacing w:after="0" w:line="240" w:lineRule="auto"/>
        <w:jc w:val="both"/>
        <w:outlineLvl w:val="0"/>
        <w:rPr>
          <w:rFonts w:ascii="Palatino Linotype" w:eastAsia="Arial Unicode MS" w:hAnsi="Palatino Linotype" w:cs="Times New Roman"/>
          <w:b/>
          <w:bCs/>
          <w:lang w:val="x-none" w:eastAsia="x-none"/>
        </w:rPr>
      </w:pPr>
      <w:bookmarkStart w:id="0" w:name="_GoBack"/>
      <w:bookmarkEnd w:id="0"/>
      <w:r w:rsidRPr="00273032">
        <w:rPr>
          <w:rFonts w:ascii="Palatino Linotype" w:eastAsia="Arial Unicode MS" w:hAnsi="Palatino Linotype" w:cs="Times New Roman"/>
          <w:b/>
          <w:bCs/>
          <w:lang w:val="x-none" w:eastAsia="x-none"/>
        </w:rPr>
        <w:t>LEI</w:t>
      </w:r>
      <w:r>
        <w:rPr>
          <w:rFonts w:ascii="Palatino Linotype" w:eastAsia="Arial Unicode MS" w:hAnsi="Palatino Linotype" w:cs="Times New Roman"/>
          <w:b/>
          <w:bCs/>
          <w:lang w:eastAsia="x-none"/>
        </w:rPr>
        <w:t xml:space="preserve"> MUNICIPAL</w:t>
      </w:r>
      <w:r w:rsidRPr="00273032">
        <w:rPr>
          <w:rFonts w:ascii="Palatino Linotype" w:eastAsia="Arial Unicode MS" w:hAnsi="Palatino Linotype" w:cs="Times New Roman"/>
          <w:b/>
          <w:bCs/>
          <w:lang w:val="x-none" w:eastAsia="x-none"/>
        </w:rPr>
        <w:t xml:space="preserve"> Nº</w:t>
      </w:r>
      <w:r>
        <w:rPr>
          <w:rFonts w:ascii="Palatino Linotype" w:eastAsia="Arial Unicode MS" w:hAnsi="Palatino Linotype" w:cs="Times New Roman"/>
          <w:b/>
          <w:bCs/>
          <w:lang w:eastAsia="x-none"/>
        </w:rPr>
        <w:t>2930/</w:t>
      </w:r>
      <w:r w:rsidRPr="00273032">
        <w:rPr>
          <w:rFonts w:ascii="Palatino Linotype" w:eastAsia="Arial Unicode MS" w:hAnsi="Palatino Linotype" w:cs="Times New Roman"/>
          <w:b/>
          <w:bCs/>
          <w:lang w:val="x-none" w:eastAsia="x-none"/>
        </w:rPr>
        <w:t>2017</w:t>
      </w:r>
      <w:r w:rsidR="00C357B1">
        <w:rPr>
          <w:rFonts w:ascii="Palatino Linotype" w:eastAsia="Arial Unicode MS" w:hAnsi="Palatino Linotype" w:cs="Times New Roman"/>
          <w:b/>
          <w:bCs/>
          <w:lang w:val="x-none" w:eastAsia="x-none"/>
        </w:rPr>
        <w:t xml:space="preserve">       </w:t>
      </w:r>
      <w:r w:rsidRPr="00273032">
        <w:rPr>
          <w:rFonts w:ascii="Palatino Linotype" w:eastAsia="Arial Unicode MS" w:hAnsi="Palatino Linotype" w:cs="Times New Roman"/>
          <w:b/>
          <w:bCs/>
          <w:lang w:val="x-none" w:eastAsia="x-none"/>
        </w:rPr>
        <w:t xml:space="preserve">SÃO MARTINHO/RS, </w:t>
      </w:r>
      <w:r>
        <w:rPr>
          <w:rFonts w:ascii="Palatino Linotype" w:eastAsia="Arial Unicode MS" w:hAnsi="Palatino Linotype" w:cs="Times New Roman"/>
          <w:b/>
          <w:bCs/>
          <w:lang w:eastAsia="x-none"/>
        </w:rPr>
        <w:t>21</w:t>
      </w:r>
      <w:r w:rsidRPr="00273032">
        <w:rPr>
          <w:rFonts w:ascii="Palatino Linotype" w:eastAsia="Arial Unicode MS" w:hAnsi="Palatino Linotype" w:cs="Times New Roman"/>
          <w:b/>
          <w:bCs/>
          <w:lang w:val="x-none" w:eastAsia="x-none"/>
        </w:rPr>
        <w:t xml:space="preserve"> DE </w:t>
      </w:r>
      <w:r>
        <w:rPr>
          <w:rFonts w:ascii="Palatino Linotype" w:eastAsia="Arial Unicode MS" w:hAnsi="Palatino Linotype" w:cs="Times New Roman"/>
          <w:b/>
          <w:bCs/>
          <w:lang w:eastAsia="x-none"/>
        </w:rPr>
        <w:t>NOVEM</w:t>
      </w:r>
      <w:r w:rsidRPr="00273032">
        <w:rPr>
          <w:rFonts w:ascii="Palatino Linotype" w:eastAsia="Arial Unicode MS" w:hAnsi="Palatino Linotype" w:cs="Times New Roman"/>
          <w:b/>
          <w:bCs/>
          <w:lang w:eastAsia="x-none"/>
        </w:rPr>
        <w:t xml:space="preserve">BRO </w:t>
      </w:r>
      <w:r w:rsidRPr="00273032">
        <w:rPr>
          <w:rFonts w:ascii="Palatino Linotype" w:eastAsia="Arial Unicode MS" w:hAnsi="Palatino Linotype" w:cs="Times New Roman"/>
          <w:b/>
          <w:bCs/>
          <w:lang w:val="x-none" w:eastAsia="x-none"/>
        </w:rPr>
        <w:t>DE 2017.</w:t>
      </w:r>
    </w:p>
    <w:p w:rsidR="00273032" w:rsidRPr="00273032" w:rsidRDefault="00273032" w:rsidP="00273032">
      <w:pPr>
        <w:spacing w:after="0" w:line="240" w:lineRule="auto"/>
        <w:ind w:left="4301"/>
        <w:jc w:val="both"/>
        <w:rPr>
          <w:rFonts w:ascii="Palatino Linotype" w:eastAsia="Times New Roman" w:hAnsi="Palatino Linotype" w:cs="Times New Roman"/>
          <w:b/>
          <w:lang w:eastAsia="pt-BR"/>
        </w:rPr>
      </w:pPr>
    </w:p>
    <w:p w:rsidR="00273032" w:rsidRPr="00273032" w:rsidRDefault="00273032" w:rsidP="0039043F">
      <w:pPr>
        <w:pBdr>
          <w:bottom w:val="thinThickSmallGap" w:sz="24" w:space="1" w:color="auto"/>
        </w:pBdr>
        <w:spacing w:after="0" w:line="240" w:lineRule="auto"/>
        <w:ind w:left="4248" w:firstLine="5"/>
        <w:jc w:val="both"/>
        <w:rPr>
          <w:rFonts w:ascii="Palatino Linotype" w:eastAsia="Times New Roman" w:hAnsi="Palatino Linotype" w:cs="Arial"/>
          <w:b/>
          <w:bCs/>
          <w:lang w:eastAsia="pt-BR"/>
        </w:rPr>
      </w:pPr>
      <w:r w:rsidRPr="00273032">
        <w:rPr>
          <w:rFonts w:ascii="Palatino Linotype" w:eastAsia="Times New Roman" w:hAnsi="Palatino Linotype" w:cs="Times New Roman"/>
          <w:bCs/>
          <w:lang w:eastAsia="pt-BR"/>
        </w:rPr>
        <w:t>“</w:t>
      </w:r>
      <w:r w:rsidRPr="00273032">
        <w:rPr>
          <w:rFonts w:ascii="Palatino Linotype" w:eastAsia="Times New Roman" w:hAnsi="Palatino Linotype" w:cs="Arial"/>
          <w:b/>
          <w:bCs/>
          <w:lang w:eastAsia="pt-BR"/>
        </w:rPr>
        <w:t>DISPÕE SOBRE AS DIRETRIZES ORÇAMENTÁRIAS PARA O EXERCÍCIO FINANCEIRO DE 2018”</w:t>
      </w:r>
      <w:r w:rsidR="00D42ECC">
        <w:rPr>
          <w:rFonts w:ascii="Palatino Linotype" w:eastAsia="Times New Roman" w:hAnsi="Palatino Linotype" w:cs="Arial"/>
          <w:b/>
          <w:bCs/>
          <w:lang w:eastAsia="pt-BR"/>
        </w:rPr>
        <w:t>.</w:t>
      </w:r>
    </w:p>
    <w:p w:rsidR="00273032" w:rsidRPr="00273032" w:rsidRDefault="00273032" w:rsidP="00273032">
      <w:pPr>
        <w:spacing w:after="0" w:line="240" w:lineRule="auto"/>
        <w:ind w:left="4248" w:firstLine="5"/>
        <w:jc w:val="both"/>
        <w:rPr>
          <w:rFonts w:ascii="Palatino Linotype" w:eastAsia="Times New Roman" w:hAnsi="Palatino Linotype" w:cs="Times New Roman"/>
          <w:b/>
          <w:sz w:val="16"/>
          <w:szCs w:val="16"/>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p>
    <w:p w:rsidR="00273032" w:rsidRPr="00273032" w:rsidRDefault="00273032" w:rsidP="00273032">
      <w:pPr>
        <w:spacing w:after="0" w:line="240" w:lineRule="auto"/>
        <w:ind w:firstLine="4253"/>
        <w:jc w:val="both"/>
        <w:rPr>
          <w:rFonts w:ascii="Palatino Linotype" w:eastAsia="Times New Roman" w:hAnsi="Palatino Linotype" w:cs="Times New Roman"/>
          <w:lang w:eastAsia="pt-BR"/>
        </w:rPr>
      </w:pPr>
      <w:r w:rsidRPr="00273032">
        <w:rPr>
          <w:rFonts w:ascii="Palatino Linotype" w:eastAsia="Times New Roman" w:hAnsi="Palatino Linotype" w:cs="Times New Roman"/>
          <w:b/>
          <w:lang w:eastAsia="pt-BR"/>
        </w:rPr>
        <w:t xml:space="preserve">MARINO KREWER </w:t>
      </w:r>
      <w:r w:rsidRPr="00273032">
        <w:rPr>
          <w:rFonts w:ascii="Palatino Linotype" w:eastAsia="Times New Roman" w:hAnsi="Palatino Linotype" w:cs="Times New Roman"/>
          <w:lang w:eastAsia="pt-BR"/>
        </w:rPr>
        <w:t>Prefeito Municipal de São Martinho, Estado do Rio Grande do Sul, no uso das atribuições legais,</w:t>
      </w:r>
    </w:p>
    <w:p w:rsidR="00273032" w:rsidRPr="00273032" w:rsidRDefault="00273032" w:rsidP="00273032">
      <w:pPr>
        <w:spacing w:after="0" w:line="240" w:lineRule="auto"/>
        <w:ind w:firstLine="4253"/>
        <w:jc w:val="both"/>
        <w:rPr>
          <w:rFonts w:ascii="Palatino Linotype" w:eastAsia="Times New Roman" w:hAnsi="Palatino Linotype" w:cs="Times New Roman"/>
          <w:b/>
          <w:lang w:eastAsia="pt-BR"/>
        </w:rPr>
      </w:pPr>
      <w:r w:rsidRPr="00273032">
        <w:rPr>
          <w:rFonts w:ascii="Palatino Linotype" w:eastAsia="Times New Roman" w:hAnsi="Palatino Linotype" w:cs="Times New Roman"/>
          <w:b/>
          <w:lang w:eastAsia="pt-BR"/>
        </w:rPr>
        <w:t>FAZ SABER</w:t>
      </w:r>
      <w:r w:rsidRPr="00273032">
        <w:rPr>
          <w:rFonts w:ascii="Palatino Linotype" w:eastAsia="Times New Roman" w:hAnsi="Palatino Linotype" w:cs="Times New Roman"/>
          <w:lang w:eastAsia="pt-BR"/>
        </w:rPr>
        <w:t>, que a Câmara Municipal de Vereadores aprovou e EU, sanciono e promulgo a seguinte Lei:</w:t>
      </w:r>
    </w:p>
    <w:p w:rsidR="00273032" w:rsidRPr="00273032" w:rsidRDefault="00273032" w:rsidP="00273032">
      <w:pPr>
        <w:spacing w:after="0" w:line="240" w:lineRule="auto"/>
        <w:ind w:firstLine="4253"/>
        <w:jc w:val="both"/>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 w:name="_Toc484165646"/>
      <w:r w:rsidRPr="00273032">
        <w:rPr>
          <w:rFonts w:ascii="Palatino Linotype" w:eastAsia="Times New Roman" w:hAnsi="Palatino Linotype" w:cs="Arial"/>
          <w:b/>
          <w:bCs/>
          <w:lang w:eastAsia="pt-BR"/>
        </w:rPr>
        <w:t>Capítulo I - Disposições Preliminares</w:t>
      </w:r>
      <w:bookmarkEnd w:id="1"/>
    </w:p>
    <w:p w:rsidR="00273032" w:rsidRPr="00273032" w:rsidRDefault="00273032" w:rsidP="00273032">
      <w:pPr>
        <w:spacing w:after="0" w:line="240" w:lineRule="auto"/>
        <w:jc w:val="center"/>
        <w:rPr>
          <w:rFonts w:ascii="Arial" w:eastAsia="Times New Roman" w:hAnsi="Arial"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1º</w:t>
      </w:r>
      <w:r w:rsidRPr="00273032">
        <w:rPr>
          <w:rFonts w:ascii="Palatino Linotype" w:eastAsia="Times New Roman" w:hAnsi="Palatino Linotype" w:cs="Arial"/>
          <w:lang w:eastAsia="pt-BR"/>
        </w:rPr>
        <w:t xml:space="preserve"> Ficam estabelecidas, em cumprimento ao disposto no art. 165, § 2.º, da Constituição Federal, no art. 77 da Lei Orgânica do Município, e na Lei Complementar nº 101, de 04 de maio de 2000, as diretrizes gerais para elaboração do orçamento do Município, relativas ao exercício de 2018, compreendendo: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metas e riscos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prioridades e metas da administração municipal extraídas do Plano Plurianual para 2018/2021;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organização e estrutura do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as diretrizes para elaboração e execução do orçamento e suas alterações;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as disposições relativas à dívida pública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as disposições relativas às despesas do Município com pessoal e encargos sociais;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as disposições sobre alterações na legislação tributária;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as Disposições Relativas ao Regime de Execução das Emendas Individuais apresentadas ao projeto de lei orçamentária 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IX - as disposições gerais.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As diretrizes orçamentárias têm entre suas finalidades: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orientar a elaboração e a execução da Lei Orçamentária Anual para o alcance dos objetivos e das metas do Plano Plurianual – PPA;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ampliar a capacidade do Município de garantir o provimento de bens e serviços à população;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2º</w:t>
      </w:r>
      <w:r w:rsidRPr="00273032">
        <w:rPr>
          <w:rFonts w:ascii="Palatino Linotype" w:eastAsia="Times New Roman" w:hAnsi="Palatino Linotype" w:cs="Arial"/>
          <w:lang w:eastAsia="pt-BR"/>
        </w:rPr>
        <w:t xml:space="preserve"> A elaboração, fiscalização e controle da lei orçamentária anual para o exercício de 2018, bem como a aprovação e execução do </w:t>
      </w:r>
      <w:r w:rsidRPr="00273032">
        <w:rPr>
          <w:rFonts w:ascii="Palatino Linotype" w:eastAsia="Times New Roman" w:hAnsi="Palatino Linotype" w:cs="Arial"/>
          <w:lang w:eastAsia="pt-BR"/>
        </w:rPr>
        <w:lastRenderedPageBreak/>
        <w:t xml:space="preserve">orçamento fiscal e da seguridade social do Município, além de serem orientados para viabilizar o alcance dos objetivos declarados no PPA, devem: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priorizar o equilíbrio entre receitas e despesas;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evidenciar a transparência da gestão fiscal, observando-se o princípio da publicidade e permitindo amplo acesso da sociedade aos dados do orçamento, inclusive por meio eletrônico;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atingir as metas relativas a receitas, Despesas, resultados primário e nominal e montante da dívida pública estabelecidos no Anexo I – Metas Fiscais desta Lei.</w:t>
      </w:r>
    </w:p>
    <w:p w:rsidR="00273032" w:rsidRPr="00273032" w:rsidRDefault="00273032" w:rsidP="00273032">
      <w:pPr>
        <w:spacing w:after="0" w:line="240" w:lineRule="auto"/>
        <w:ind w:firstLine="4253"/>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2" w:name="_Toc484165647"/>
      <w:r w:rsidRPr="00273032">
        <w:rPr>
          <w:rFonts w:ascii="Palatino Linotype" w:eastAsia="Times New Roman" w:hAnsi="Palatino Linotype" w:cs="Arial"/>
          <w:b/>
          <w:bCs/>
          <w:lang w:eastAsia="pt-BR"/>
        </w:rPr>
        <w:t>Capítulo II - Das Metas e Riscos Fiscais</w:t>
      </w:r>
      <w:bookmarkEnd w:id="2"/>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w:t>
      </w:r>
      <w:r w:rsidRPr="00273032">
        <w:rPr>
          <w:rFonts w:ascii="Palatino Linotype" w:eastAsia="Times New Roman" w:hAnsi="Palatino Linotype" w:cs="Arial"/>
          <w:b/>
          <w:color w:val="000000"/>
          <w:u w:val="single"/>
          <w:vertAlign w:val="superscript"/>
          <w:lang w:eastAsia="pt-BR"/>
        </w:rPr>
        <w:t>o</w:t>
      </w:r>
      <w:r w:rsidRPr="00273032">
        <w:rPr>
          <w:rFonts w:ascii="Palatino Linotype" w:eastAsia="Times New Roman" w:hAnsi="Palatino Linotype" w:cs="Arial"/>
          <w:lang w:eastAsia="pt-BR"/>
        </w:rPr>
        <w:t xml:space="preserve"> As metas fiscais de receitas, despesas, resultado primário, nominal e montante da dívida pública para os exercícios de 2018, 2019 e 2020, de que trata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xml:space="preserve"> da Lei Complementar n° 101/2000, são as identificadas no ANEXO I, composto dos seguintes demonstrativos: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das metas fiscais anuais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1</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da LC nº 101/2000, acompanhado da memória e metodologia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da avaliação do cumprimento das metas fiscais relativas ao ano de 2016;</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das metas fiscais previstas para 2018, 2019 e 2020, comparadas com as fixadas nos exercícios de 2015, 2016 e 2017;</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da evolução do patrimônio líquido, conforme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da origem e aplicação dos recursos obtidos com a alienação de ativos, em cumprimento ao disposto no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da avaliação da situação financeira e atuarial do Regime Próprio de Previdência dos Servidores Públicos Municipais, de acordo com 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IV,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da estimativa e compensação da renúncia de receita,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da margem de expansão das despesas obrigatórias de caráter continuado, conforme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inciso V, da Lei Complementar nº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 2º Na hipótese prevista pelo § 1º, o demonstrativo de que trata o inciso I do Caput deverá ser elaborado e encaminhado </w:t>
      </w:r>
      <w:r w:rsidRPr="00273032">
        <w:rPr>
          <w:rFonts w:ascii="Palatino Linotype" w:eastAsia="Times New Roman" w:hAnsi="Palatino Linotype" w:cs="Arial"/>
          <w:snapToGrid w:val="0"/>
          <w:lang w:eastAsia="pt-BR"/>
        </w:rPr>
        <w:lastRenderedPageBreak/>
        <w:t xml:space="preserve">juntamente com o projeto de lei orçamentária anual, acompanhado da memória e metodologia de cálculo devidamente atualizadas.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3</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Durante o exercício de 2018, a meta resultado primário prevista no demonstrativo referido no inciso I do caput, poderá ser reduzida até o montante que corresponder à frustração da arrecadação das receitas </w:t>
      </w:r>
      <w:r w:rsidRPr="00273032">
        <w:rPr>
          <w:rFonts w:ascii="Palatino Linotype" w:eastAsia="Times New Roman" w:hAnsi="Palatino Linotype" w:cs="Arial"/>
          <w:lang w:eastAsia="pt-BR"/>
        </w:rPr>
        <w:t xml:space="preserve">que são objeto de transferência constitucional, com base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158 e 159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Para os fins do disposto no § 3º, considera-se frustração de arrecadação, a diferença a menor que for observada entre os valores que forem arrecadados em cada mês, em comparação com igual mês do ano anterior.</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5</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Nas hipóteses de revisão dos valores das metas fiscais de que trata este artigo, e para efeitos de avaliação na audiência pública prevista no art. 9</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 4</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da LC nº 101/2000, as receitas e despesas realizadas serão comparadas com as metas ajustadas.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Estão discriminados, no Anexo II, que integra esta Lei, os Riscos Fiscais, onde são avaliados os riscos orçamentários e os passivos contingentes capazes de afetar as contas públicas, em cumprimento ao art. 4</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 3</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Consideram-se passivos contingentes e outros riscos fiscais possíveis obrigações à serem cumpridas em 2018, cuja existência será confirmada somente pela ocorrência ou não de um ou mais eventos futuros que não estejam totalmente sob controle do Município.</w:t>
      </w:r>
    </w:p>
    <w:p w:rsidR="00273032" w:rsidRPr="00273032" w:rsidRDefault="00273032" w:rsidP="00273032">
      <w:pPr>
        <w:spacing w:after="0" w:line="240" w:lineRule="auto"/>
        <w:ind w:firstLine="4253"/>
        <w:jc w:val="both"/>
        <w:rPr>
          <w:rFonts w:ascii="Palatino Linotype" w:eastAsia="Times New Roman" w:hAnsi="Palatino Linotype" w:cs="Arial"/>
          <w:color w:val="FF0000"/>
          <w:lang w:eastAsia="pt-BR"/>
        </w:rPr>
      </w:pPr>
      <w:r w:rsidRPr="00273032">
        <w:rPr>
          <w:rFonts w:ascii="Palatino Linotype" w:eastAsia="Times New Roman" w:hAnsi="Palatino Linotype" w:cs="Arial"/>
          <w:lang w:eastAsia="pt-BR"/>
        </w:rPr>
        <w:t>§ 2º Também são passivos contingentes, obrigações decorrentes de eventos passados, cuja liquidação em 2018 seja improvável ou cujo valor não possa ser tecnicamente estimado.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Sendo esses recursos insuficientes, o Poder Executivo poderá reduzir as dotações destinadas para investimentos, desde que não comprometidas.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3" w:name="_Toc484165648"/>
      <w:r w:rsidRPr="00273032">
        <w:rPr>
          <w:rFonts w:ascii="Palatino Linotype" w:eastAsia="Times New Roman" w:hAnsi="Palatino Linotype" w:cs="Arial"/>
          <w:b/>
          <w:bCs/>
          <w:lang w:eastAsia="pt-BR"/>
        </w:rPr>
        <w:t xml:space="preserve">Capítulo III - Das Metas e Prioridades da Administração Pública Municipal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Extraídas do Plano Plurianual</w:t>
      </w:r>
      <w:bookmarkEnd w:id="3"/>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w:t>
      </w:r>
      <w:r w:rsidRPr="00273032">
        <w:rPr>
          <w:rFonts w:ascii="Palatino Linotype" w:eastAsia="Times New Roman" w:hAnsi="Palatino Linotype" w:cs="Arial"/>
          <w:b/>
          <w:color w:val="000000"/>
          <w:lang w:eastAsia="pt-BR"/>
        </w:rPr>
        <w:t>º</w:t>
      </w:r>
      <w:r w:rsidRPr="00273032">
        <w:rPr>
          <w:rFonts w:ascii="Palatino Linotype" w:eastAsia="Times New Roman" w:hAnsi="Palatino Linotype" w:cs="Arial"/>
          <w:color w:val="000000"/>
          <w:lang w:eastAsia="pt-BR"/>
        </w:rPr>
        <w:t xml:space="preserve"> </w:t>
      </w:r>
      <w:r w:rsidRPr="00273032">
        <w:rPr>
          <w:rFonts w:ascii="Palatino Linotype" w:eastAsia="Times New Roman" w:hAnsi="Palatino Linotype" w:cs="Arial"/>
          <w:snapToGrid w:val="0"/>
          <w:lang w:eastAsia="pt-BR"/>
        </w:rPr>
        <w:t>As metas e prioridades para o exercício financeiro de 2018 estão estruturadas de acordo com o Plano Plurianual para 2018/2021 - Lei n</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snapToGrid w:val="0"/>
          <w:lang w:eastAsia="pt-BR"/>
        </w:rPr>
        <w:t>, de            e suas alterações, especificadas no Anexo III, integrante desta Lei, as quais terão precedência na alocação de recursos na Lei Orçamentária.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lastRenderedPageBreak/>
        <w:t>§ 1</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Os valores constantes no Anexo de que trata este artigo possuem caráter indicativo e não normativo, devendo servir de referência para o planejamento, podendo ser atualizados pela lei orçamentária ou através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 xml:space="preserve">As metas e prioridades de que trata o </w:t>
      </w:r>
      <w:r w:rsidRPr="00273032">
        <w:rPr>
          <w:rFonts w:ascii="Palatino Linotype" w:eastAsia="Times New Roman" w:hAnsi="Palatino Linotype" w:cs="Arial"/>
          <w:i/>
          <w:lang w:eastAsia="pt-BR"/>
        </w:rPr>
        <w:t xml:space="preserve">caput </w:t>
      </w:r>
      <w:r w:rsidRPr="00273032">
        <w:rPr>
          <w:rFonts w:ascii="Palatino Linotype" w:eastAsia="Times New Roman" w:hAnsi="Palatino Linotype" w:cs="Arial"/>
          <w:lang w:eastAsia="pt-BR"/>
        </w:rPr>
        <w:t>deste artigo, bem como as respectivas ações planejadas para o seu atingimento,  poderão ser alteradas, se durante o período decorrido entre a apresentação desta Lei e a elaboração da proposta orçamentária para 2018 surgirem novas demandas ou situações em que haja necessidade da intervenção do Poder Público, ou em decorrência de créditos adicionais ocorridos.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w:t>
      </w:r>
      <w:r w:rsidRPr="00273032">
        <w:rPr>
          <w:rFonts w:ascii="Palatino Linotype" w:eastAsia="Times New Roman" w:hAnsi="Palatino Linotype" w:cs="Arial"/>
          <w:color w:val="000000"/>
          <w:lang w:eastAsia="pt-BR"/>
        </w:rPr>
        <w:t xml:space="preserve">º </w:t>
      </w:r>
      <w:r w:rsidRPr="00273032">
        <w:rPr>
          <w:rFonts w:ascii="Palatino Linotype" w:eastAsia="Times New Roman" w:hAnsi="Palatino Linotype" w:cs="Arial"/>
          <w:lang w:eastAsia="pt-BR"/>
        </w:rPr>
        <w:t>Na hipótese prevista no §2</w:t>
      </w:r>
      <w:r w:rsidRPr="00273032">
        <w:rPr>
          <w:rFonts w:ascii="Palatino Linotype" w:eastAsia="Times New Roman" w:hAnsi="Palatino Linotype" w:cs="Arial"/>
          <w:color w:val="000000"/>
          <w:u w:val="single"/>
          <w:vertAlign w:val="superscript"/>
          <w:lang w:eastAsia="pt-BR"/>
        </w:rPr>
        <w:t>o</w:t>
      </w:r>
      <w:r w:rsidRPr="00273032">
        <w:rPr>
          <w:rFonts w:ascii="Palatino Linotype" w:eastAsia="Times New Roman" w:hAnsi="Palatino Linotype" w:cs="Arial"/>
          <w:lang w:eastAsia="pt-BR"/>
        </w:rPr>
        <w:t>, as alterações do Anexo de Metas e Prioridades serão evidenciadas em demonstrativo específico, a ser encaminhado juntamente com a proposta orçamentária para o próximo exercício.</w:t>
      </w:r>
      <w:bookmarkStart w:id="4" w:name="_Toc484165649"/>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IV - Da Estrutura e Organização do Orçamento</w:t>
      </w:r>
      <w:bookmarkEnd w:id="4"/>
    </w:p>
    <w:p w:rsidR="00273032" w:rsidRPr="00273032" w:rsidRDefault="00273032" w:rsidP="00273032">
      <w:pPr>
        <w:spacing w:after="0" w:line="240" w:lineRule="auto"/>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5º</w:t>
      </w:r>
      <w:r w:rsidRPr="00273032">
        <w:rPr>
          <w:rFonts w:ascii="Palatino Linotype" w:eastAsia="Times New Roman" w:hAnsi="Palatino Linotype" w:cs="Arial"/>
          <w:lang w:eastAsia="pt-BR"/>
        </w:rPr>
        <w:t xml:space="preserve"> Para efeito desta Lei, entende-se por: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Programa: instrumento de organização da ação governamental visando à concretização dos objetivos pretendidos, mensurados por indicadores, conforme estabelecido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Atividade: instrumento de programação para alcançar o objetivo de um programa, envolvendo um conjunto de operações que se realizam de modo contínuo e permanente, das quais resulta um produto necessário à manutenção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Projeto: instrumento de programação para alcançar o objetivo de um programa, envolvendo um conjunto de operações, limitadas no tempo, das quais resulta um produto que concorre para a expansão ou aperfeiçoamento da ação de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Operação Especial: despesas que não contribuem para a manutenção das ações de governo, das quais não resulta um produto, e não geram contraprestação direta sob a forma de bens ou serviços;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Órgão Orçamentário: o maior nível da classificação institucional, que tem por finalidade agrupar unidades orçamentárias.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Unidade Orçamentária: o menor nível da classificação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Cada atividade, projeto ou operação especial identificará a função e a</w:t>
      </w:r>
      <w:r w:rsidR="0039043F">
        <w:rPr>
          <w:rFonts w:ascii="Palatino Linotype" w:eastAsia="Times New Roman" w:hAnsi="Palatino Linotype" w:cs="Arial"/>
          <w:lang w:eastAsia="pt-BR"/>
        </w:rPr>
        <w:t xml:space="preserve"> </w:t>
      </w:r>
      <w:proofErr w:type="spellStart"/>
      <w:r w:rsidR="0039043F">
        <w:rPr>
          <w:rFonts w:ascii="Palatino Linotype" w:eastAsia="Times New Roman" w:hAnsi="Palatino Linotype" w:cs="Arial"/>
          <w:lang w:eastAsia="pt-BR"/>
        </w:rPr>
        <w:t>subfunção</w:t>
      </w:r>
      <w:proofErr w:type="spellEnd"/>
      <w:r w:rsidR="0039043F">
        <w:rPr>
          <w:rFonts w:ascii="Palatino Linotype" w:eastAsia="Times New Roman" w:hAnsi="Palatino Linotype" w:cs="Arial"/>
          <w:lang w:eastAsia="pt-BR"/>
        </w:rPr>
        <w:t xml:space="preserve"> às quais se vincula,</w:t>
      </w:r>
      <w:r w:rsidRPr="00273032">
        <w:rPr>
          <w:rFonts w:ascii="Palatino Linotype" w:eastAsia="Times New Roman" w:hAnsi="Palatino Linotype" w:cs="Arial"/>
          <w:lang w:eastAsia="pt-BR"/>
        </w:rPr>
        <w:t xml:space="preserve"> de acordo com a Portaria MOG nº 42/1999 e suas atualizações.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§3º A classificação das unidades orçamentárias atenderá, no que couber, ao disposto no art. 14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As operações especiais relacionadas ao pagamento de encargos gerais do Município, serão consignadas em unidade orçamentária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6º</w:t>
      </w:r>
      <w:r w:rsidRPr="00273032">
        <w:rPr>
          <w:rFonts w:ascii="Palatino Linotype" w:eastAsia="Times New Roman" w:hAnsi="Palatino Linotype" w:cs="Arial"/>
          <w:lang w:eastAsia="pt-BR"/>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As operações entre órgãos, fundos e entidades previstas nos Orçamentos Fiscal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7º</w:t>
      </w:r>
      <w:r w:rsidRPr="00273032">
        <w:rPr>
          <w:rFonts w:ascii="Palatino Linotype" w:eastAsia="Times New Roman" w:hAnsi="Palatino Linotype" w:cs="Arial"/>
          <w:lang w:eastAsia="pt-BR"/>
        </w:rPr>
        <w:t xml:space="preserve"> Os orçamentos fiscal e da seguridade social discriminarão a despesa por elementos de despesa, na forma do art. 15, § 1º, da Lei Federal nº 4.320/64.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8º</w:t>
      </w:r>
      <w:r w:rsidRPr="00273032">
        <w:rPr>
          <w:rFonts w:ascii="Palatino Linotype" w:eastAsia="Times New Roman" w:hAnsi="Palatino Linotype" w:cs="Arial"/>
          <w:lang w:eastAsia="pt-BR"/>
        </w:rPr>
        <w:t xml:space="preserve"> O Projeto de Lei Orçamentária Anual será encaminhado ao Poder Legislativo, conforme estabelecido no § 5º do art. 165 da Constituição Federal,  Lei Orgânica do Município e no art. 2º, da Lei Federal nº 4.320/64, e será composto 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texto da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consolidação dos quadros orçamentários;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Integrarão a consolidação dos quadros orçamentários a que se refere o inciso II, incluindo os complementos referenciados no art. 22, inciso III, da Lei Federal nº 4.320/64, os seguintes quadros: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discriminação da legislação básica da receita e da despesa dos orçamentos fiscal e da seguridade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demonstrativo da evolução da receita, por origem de arrecadação, em atendimento ao disposto no art. 12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demonstrativo da estimativa e compensação da renúncia de receita e da margem de expansão das despesas obrigatórias de caráter continuado, de acordo com o art. 5º, inciso II,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demonstrativo das receitas por origem e das despesas por grupo de natureza de despesa dos orçamentos fiscal e da seguridade social, conforme art. 165, § 5º, III, da Constituição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V - demonstrativo da receita e planos de aplicação dos Fundos Especiais, que obedecerá ao disposto no inciso I do § 2º do art. 2º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demonstrativo de compatibilidade da programação do orçamento com as metas fiscais estabelecidas na Lei de Diretrizes Orçamentárias, de acordo com o art. 5º, inciso I,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demonstrativo da previsão das aplicações de recursos na Manutenção e Desenvolvimento do Ensino (MDE) e do Fundo de Manutenção e Desenvolvimento da Educação Básica e de Valorização dos Profissionais da Educação (FUNDEB);</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IX - demonstrativo da previsão da aplicação anual do Município em Ações e Serviços Públicos de Saúde (ASPS), conforme a Lei Complementar nº 141, de 13 de janeiro de 2012;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X - demonstrativo das categorias de programação a serem financiadas com recursos de operações de crédito realizadas e a realizar, com indicação da dotação e do orçamento a que pertencem;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XI - demonstrativo do cálculo do limite máximo de despesa para a Câmara Municipal, conforme o artigo 29-A da Constituição Federal, de acordo com a metodologia prevista no §2º do art. 13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9º</w:t>
      </w:r>
      <w:r w:rsidRPr="00273032">
        <w:rPr>
          <w:rFonts w:ascii="Palatino Linotype" w:eastAsia="Times New Roman" w:hAnsi="Palatino Linotype" w:cs="Arial"/>
          <w:lang w:eastAsia="pt-BR"/>
        </w:rPr>
        <w:t xml:space="preserve"> A mensagem que encaminhar o projeto de lei orçamentária anual conterá:</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relato sucinto da situação econômica e financeira do Município e projeções para o exercício de 2018, com destaque, se for o caso, para o comprometimento da receita com o pagamento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resumo da política econômica e social do Governo;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justificativa da estimativa e da fixação, respectivamente, da receita e da despesa e dos seus principais agregados, conforme dispõe o inciso I do art. 22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memória de cálculo da receita e premissas utilizadas;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demonstrativo da dívida fundada, assim como da evolução do estoque da dívida pública, dos últimos três anos, a situação provável no final de 2017 e a previsão para o exercício de 2018;</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5" w:name="_Toc484165650"/>
      <w:r w:rsidRPr="00273032">
        <w:rPr>
          <w:rFonts w:ascii="Palatino Linotype" w:eastAsia="Times New Roman" w:hAnsi="Palatino Linotype" w:cs="Arial"/>
          <w:b/>
          <w:bCs/>
          <w:lang w:eastAsia="pt-BR"/>
        </w:rPr>
        <w:t xml:space="preserve">Capítulo V - Das Diretrizes para Elaboração e Execução do Orçamento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 suas Alterações</w:t>
      </w:r>
      <w:bookmarkEnd w:id="5"/>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6" w:name="_Toc484165651"/>
      <w:r w:rsidRPr="00273032">
        <w:rPr>
          <w:rFonts w:ascii="Palatino Linotype" w:eastAsia="Times New Roman" w:hAnsi="Palatino Linotype" w:cs="Arial"/>
          <w:b/>
          <w:bCs/>
          <w:lang w:eastAsia="pt-BR"/>
        </w:rPr>
        <w:lastRenderedPageBreak/>
        <w:t>Seção I - Das Diretrizes Gerais</w:t>
      </w:r>
      <w:bookmarkEnd w:id="6"/>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10.</w:t>
      </w:r>
      <w:r w:rsidRPr="00273032">
        <w:rPr>
          <w:rFonts w:ascii="Palatino Linotype" w:eastAsia="Times New Roman" w:hAnsi="Palatino Linotype" w:cs="Arial"/>
          <w:lang w:eastAsia="pt-BR"/>
        </w:rPr>
        <w:t xml:space="preserve"> Os orçamentos fiscais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w:t>
      </w:r>
      <w:r w:rsidRPr="00273032">
        <w:rPr>
          <w:rFonts w:ascii="Palatino Linotype" w:eastAsia="Times New Roman" w:hAnsi="Palatino Linotype" w:cs="Arial"/>
          <w:lang w:val="pt-PT" w:eastAsia="pt-BR"/>
        </w:rPr>
        <w:t xml:space="preserve">recebam recursos.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Os órgãos da Administração Indireta e o Poder Legislativo encaminharão à Secretaria de Finanças, até 30 de outubro de 2017, suas respectivas propostas orçamentárias, para fins de consolidação do Projeto de Lei Orçamentária de 2018, observadas as disposições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11.</w:t>
      </w:r>
      <w:r w:rsidRPr="00273032">
        <w:rPr>
          <w:rFonts w:ascii="Palatino Linotype" w:eastAsia="Times New Roman" w:hAnsi="Palatino Linotype" w:cs="Arial"/>
          <w:lang w:eastAsia="pt-BR"/>
        </w:rPr>
        <w:t xml:space="preserve"> A elaboração e a aprovação do Orçamento para o exercício de 2018 e a sua execução obedecerão, entre outros, ao princípio da publicidade, promovendo-se a transparência da gestão fiscal e permitindo-se o amplo acesso da sociedade a todas as informações relativas a cada uma dessas etapas.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Para fins de atendimento ao disposto no art. 48, § 1º, I,  da LC nº 101/2000, o Poder Executivo organizará audiência(s) pública(s) a fim de assegurar aos cidadãos a participação na seleção das prioridades de investimentos, que terão recursos consignados no orçamento.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Câmara Municipal organizará audiência(s) pública(s) para discussão da proposta orçamentária durante o processo de sua apreciação e aprovação.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12.</w:t>
      </w:r>
      <w:r w:rsidRPr="00273032">
        <w:rPr>
          <w:rFonts w:ascii="Palatino Linotype" w:eastAsia="Times New Roman" w:hAnsi="Palatino Linotype" w:cs="Arial"/>
          <w:lang w:eastAsia="pt-BR"/>
        </w:rPr>
        <w:t xml:space="preserve"> Os Fundos Municipais constituirão unidade orçamentária específica, e terão suas Receitas vinculadas a Despesas relacionadas com seus objetivos, identificadas em Planos de Aplicação, representados nas Planilhas de Despesas referidas no art. 8º, § 1º, inciso V,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administração dos Fundos Municipais será efetivada pelo Chefe do Poder Executivo, podendo, por ato formal deste, e observada a respectiva legislação pertinente, ser delegada a Secretários, servidores municipais ou comissão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13.</w:t>
      </w:r>
      <w:r w:rsidRPr="00273032">
        <w:rPr>
          <w:rFonts w:ascii="Palatino Linotype" w:eastAsia="Times New Roman" w:hAnsi="Palatino Linotype" w:cs="Arial"/>
          <w:lang w:eastAsia="pt-BR"/>
        </w:rPr>
        <w:t xml:space="preserve"> Os estudos para definição do Orçamento da Receita deverão observar os 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2018.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xml:space="preserve">§ 1º Até 30 dias antes do encaminhamento da Proposta Orçamentária ao Poder Legislativo, o Poder Executivo Municipal colocará à disposição da Câmara Municipal os estudos e as estimativas de receitas para o exercício de 2018, inclusive da receita corrente líquida, e as respectivas memórias de cálculo.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limite das despesas do Poder Legislativo, nos termos do art. 29-A da Constituição Federal e da metodologia de cálculo estabelecida pela Instrução Normativa nº 19/2016 do Tribunal de Contas do Estado,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Art.14.</w:t>
      </w:r>
      <w:r w:rsidRPr="00273032">
        <w:rPr>
          <w:rFonts w:ascii="Palatino Linotype" w:eastAsia="Times New Roman" w:hAnsi="Palatino Linotype" w:cs="Arial"/>
          <w:lang w:eastAsia="pt-BR"/>
        </w:rPr>
        <w:t xml:space="preserve"> Constarão no projeto de lei orçamentária reservas de contingência, desdobradas para atender às seguintes finalidades: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atender passivos contingentes e outros riscos e eventos fiscais imprevistos relacionados no Anexo de que trata o art. 3º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cobertura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atender ao disposto no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reserva de contingência, de que trata o inciso 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será fixada em, no mínimo, 1 % (um por cento) da receita corrente líquida, e sua utilização dar-se-á mediante créditos adicionais abertos à sua conta.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Na hipótese de ficar demonstrado que as reservas de contingência constituídas na forma dos incisos I e III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15.</w:t>
      </w:r>
      <w:r w:rsidRPr="00273032">
        <w:rPr>
          <w:rFonts w:ascii="Palatino Linotype" w:eastAsia="Times New Roman" w:hAnsi="Palatino Linotype" w:cs="Arial"/>
          <w:lang w:eastAsia="pt-BR"/>
        </w:rPr>
        <w:t xml:space="preserve"> Observado o disposto no art. 45 da Lei Complementar nº 101, de 2000, somente serão incluídos novos projetos na Lei Orçamentária de 2018 se: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tiverem sido adequada e suficientemente contempladas as despesas para conservação do patrimônio público e para os projetos em andamento, constantes do Anexo IV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 ação estiver compatível com 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disposto neste artigo não se aplica às despesas programadas com recursos de transferências voluntárias e operações de crédito, cuja execução fica limitada à respectiva disponibilidade orçamentária e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16.</w:t>
      </w:r>
      <w:r w:rsidRPr="00273032">
        <w:rPr>
          <w:rFonts w:ascii="Palatino Linotype" w:eastAsia="Times New Roman" w:hAnsi="Palatino Linotype" w:cs="Arial"/>
          <w:lang w:eastAsia="pt-BR"/>
        </w:rPr>
        <w:t xml:space="preserve"> Os procedimentos administrativos de estimativa do impacto orçamentário-financeiro e declaração do ordenador da despesa de que trata o art. 16, I e II, da LC nº 101/2000, quando for o caso, deverão ser inseridos no processo que abriga os autos da licitação ou de sua dispensa/inexigibilidade.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Para efeito do disposto no art. 16, § 3º, da LC nº 101/2000, serão consideradas despesas irrelevantes aquelas decorrentes da criação, expansão ou aperfeiçoamento da ação governamental que acarrete aumento da despesa, cujo montante no exercício financeiro de 2018, em cada evento, não exceda aos valores limites para dispensa de licitação fixados nos incisos I e II do art. 24 da Lei nº 8.666/93, conforme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despesas com pessoal e respectivos encargos, desde que não configurem geração de despesa obrigatória de caráter continuado, serão consideradas irrelevantes aquelas cujo montante, no exercício de 2018, em cada evento, não exceda a 10(dez) vezes o menor padrão de vencimentos.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17.</w:t>
      </w:r>
      <w:r w:rsidRPr="00273032">
        <w:rPr>
          <w:rFonts w:ascii="Palatino Linotype" w:eastAsia="Times New Roman" w:hAnsi="Palatino Linotype" w:cs="Arial"/>
          <w:lang w:eastAsia="pt-BR"/>
        </w:rPr>
        <w:t xml:space="preserve"> A compensação de que trata o art. 17, § 2º, da LC n° 101/2000, quando da criação ou aumento de Despesas Obrigatórias de Caráter Continuado, poderá ser realizada a partir do aproveitamento da margem líquida de expansão prevista no inciso V do § 2º do art. 4º, da referida Lei, desde que observados: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o limite das respectivas dotações constantes da Lei Orçamentária de 2018 e de créditos adicionais;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os limites estabelecidos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20, inciso III, e 22, parágrafo único, da LC nº 101/2000, no caso da geração de despesas com pessoal e respectivos encargos;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o valor da margem líquida de expansão constante no demonstrativo de que trata o art. 2º, VIII, dessa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18.</w:t>
      </w:r>
      <w:r w:rsidRPr="00273032">
        <w:rPr>
          <w:rFonts w:ascii="Palatino Linotype" w:eastAsia="Times New Roman" w:hAnsi="Palatino Linotype" w:cs="Arial"/>
          <w:lang w:eastAsia="pt-BR"/>
        </w:rPr>
        <w:t xml:space="preserve">  O controle de custos das ações desenvolvidas pelo Poder Público Municipal de que trata o art. 50, § 3º, da LC nº 101/2000, deverá, no mínimo, evidenciar, em relatórios anuais os gastos das obras e dos serviços públicos,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dos programas finalísticos e respectivas ações previsto no Plano Plurianual;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do m² das construções e do m² das pavimentações;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do custo aluno/ano da educação infantil e do ensino fundamental, do custo aluno/ano do transporte escolar e do custo aluno/ano com merenda escolar;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do custo da destinação final da tonelada de lixo;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do custo do atendimento nas unidades de saúde, entre outros.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xml:space="preserve">§ 1º O controle de custos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será orientado para o estabelecimento da relação entre a despesa pública e o resultado obtido, de forma a priorizar a análise da eficiência na alocação dos recursos, permitindo o acompanhamento das gestões orçamentária, financeira e patrimonial.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custos serão apurados e avaliados através das operações orçamentárias, tomando-se por base, a comparação entre as despesas autorizadas e liquidadas, bem como a comparação entre as metas físicas previstas e as realizadas.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Os relatórios referidos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deverão ser disponibilizados em meio eletrônico de acesso ao público, em até 15(quinze) dias contados da data de sua emissão.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19.</w:t>
      </w:r>
      <w:r w:rsidRPr="00273032">
        <w:rPr>
          <w:rFonts w:ascii="Palatino Linotype" w:eastAsia="Times New Roman" w:hAnsi="Palatino Linotype" w:cs="Arial"/>
          <w:lang w:eastAsia="pt-BR"/>
        </w:rPr>
        <w:t xml:space="preserve"> As metas fiscais estabelecidas no demonstrativo de que trata o inciso I do art. 2º 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Para fins de realização da audiência pública prevista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e em conformidade com o art. 9º, § 4º, da LC nº 101/2000, o Poder Executivo encaminhará ao Poder Legislativo, até 02(dois) dias antes da audiência, relatório de avaliação do cumprimento das metas fiscais, com as justificativas de eventuais desvios e indicação das medidas corretivas adotadas.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Compete ao Poder Legislativo Municipal, mediante prévio agendamento com o Poder Executivo, convocar e coordenar a realização das audiências públicas referidas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w:t>
      </w: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7" w:name="_Toc484165652"/>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II - Das Diretrizes Específicas do Orçamento da Seguridade Social</w:t>
      </w:r>
      <w:bookmarkEnd w:id="7"/>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t>Art. 20.</w:t>
      </w:r>
      <w:r w:rsidRPr="00273032">
        <w:rPr>
          <w:rFonts w:ascii="Palatino Linotype" w:eastAsia="Times New Roman" w:hAnsi="Palatino Linotype" w:cs="Arial"/>
          <w:lang w:eastAsia="pt-BR"/>
        </w:rPr>
        <w:t xml:space="preserve"> O Orçamento da Seguridade Social compreenderá as dotações destinadas a atender às ações de saúde, previdência e assistência social, e contará, entre outros, com recursos provenientes:</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 – do produto da arrecadação de impostos e transferências constitucionais vinculados às ações e serviços públicos de saúde, nos termos da Lei Complementar nº 141, de 13 de janeiro de 2012;</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II –das contribuições para o Regime Próprio de Previdência Social dos Servidores Municipais, que será utilizada para despesas com encargos previdenciários do Município;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de aportes financeiros de recursos do Orçamento Fiscal; </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–das demais receitas cujas despesas integram, exclusivamente, o orçamento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Parágrafo único.</w:t>
      </w:r>
      <w:r w:rsidRPr="00273032">
        <w:rPr>
          <w:rFonts w:ascii="Palatino Linotype" w:eastAsia="Times New Roman" w:hAnsi="Palatino Linotype" w:cs="Arial"/>
          <w:lang w:eastAsia="pt-BR"/>
        </w:rPr>
        <w:t xml:space="preserve"> O orçamento da seguridade social será evidenciado na forma do demonstrativo previsto no art. 8º, § 1º, inciso IV, desta Lei.</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8" w:name="_Toc484165653"/>
      <w:r w:rsidRPr="00273032">
        <w:rPr>
          <w:rFonts w:ascii="Palatino Linotype" w:eastAsia="Times New Roman" w:hAnsi="Palatino Linotype" w:cs="Arial"/>
          <w:b/>
          <w:bCs/>
          <w:lang w:eastAsia="pt-BR"/>
        </w:rPr>
        <w:t xml:space="preserve">Seção III - Das Disposições sobre a Programação e Execução </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Orçamentária e Financeira</w:t>
      </w:r>
      <w:bookmarkEnd w:id="8"/>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21.</w:t>
      </w:r>
      <w:r w:rsidRPr="00273032">
        <w:rPr>
          <w:rFonts w:ascii="Palatino Linotype" w:eastAsia="Times New Roman" w:hAnsi="Palatino Linotype" w:cs="Arial"/>
          <w:lang w:eastAsia="pt-BR"/>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1º</w:t>
      </w:r>
      <w:r w:rsidRPr="00273032">
        <w:rPr>
          <w:rFonts w:ascii="Palatino Linotype" w:eastAsia="Times New Roman" w:hAnsi="Palatino Linotype" w:cs="Arial"/>
          <w:lang w:eastAsia="pt-BR"/>
        </w:rPr>
        <w:t xml:space="preserve"> O ato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e os que o modificarem conterá:1</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metas quadrimestrais para o resultado primário, que servirão de parâmetro para a avaliação de que trata o art. 9º, § 4º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metas bimestrais de realização de receitas primárias, em atendimento ao disposto no art. 13 da LC nº 101/2000, discriminadas, no mínimo, por origem, identificando-se separadamente, quando cabível, as medidas de combate à evasão e à sonegação fiscal e da cobrança da dívida ativa;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cronograma de desembolso mensal de despesas, por órgão e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Excetuadas as despesas com pessoal e encargos sociais, precatórios e sentenças judiciais, o cronograma de desembolso do Poder Legislativo terá, como referencial, o repasse previsto no art. 168 da Constituição Federal, na forma de duodécimos.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22.</w:t>
      </w:r>
      <w:r w:rsidRPr="00273032">
        <w:rPr>
          <w:rFonts w:ascii="Palatino Linotype" w:eastAsia="Times New Roman" w:hAnsi="Palatino Linotype" w:cs="Arial"/>
          <w:lang w:eastAsia="pt-BR"/>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contrapartida para projetos ou atividades vinculados a recursos oriundos de fontes extraordinárias, como transferências voluntárias, operações de crédito, alienação de ativos, desde que ainda não comprometidos;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II - obras em geral, cuja fase ou etapa ainda não esteja iniciada;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aquisição de combustíveis e derivados,  destinada à frota de veículos, exceto dos setores de educação 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dotação para material de consumo e outros serviços de terceiros das diversas atividades;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 - diárias de viagem;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festividades, homenagens, recepções e demais eventos da mesma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despesas com publicidade institucional;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horas extras.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Na avaliação do cumprimento das metas bimestrais de arrecadação para implementação ou não do mecanismo da limitação de empenho e movimentação financeira, será considerado ainda o resultado financeiro apurado no Balanço Patrimonial do exercício de 2017, observada a vinculação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Não serão objeto de limitação de empenho: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despesas relacionadas com vinculações constitucionais e legais, nos termos do § 2º do art. 9º da LC nº 101/2000 e do art. 28 da Lei Complementar Federal n.º 141, de 13 de janeiro de 2012;</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despesas com o pagamento de precatórios e sentenças judiciais de pequeno valor;</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as despesas fixas e obrigatórias com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IV - as despesas financiadas com recursos de Transferências Voluntárias da União e do Estado, Operações de Crédito e Alienação de bens, observado o disposto no art. 24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Na hipótese de ocorrência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 Poder Executivo comunicará à Câmara Municipal o montante que lhe caberá tornar indisponível para empenho e movimentação financeira.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Os Chefes do Poder Executivo e do Poder Legislativo deverão divulgar, em ato próprio, os ajustes processados, que será discriminado, no mínimo, por unidade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Ocorrendo o restabelecimento da receita prevista, a recomposição se fará obedecendo ao disposto no art. 9º, § 1º,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Na ocorrência de calamidade pública, reconhecida na forma da lei, serão dispensadas a obtenção dos resultados fiscais programados e a limitação de empenho enquanto perdurar essa situação, nos termos do art. 65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23.</w:t>
      </w:r>
      <w:r w:rsidRPr="00273032">
        <w:rPr>
          <w:rFonts w:ascii="Palatino Linotype" w:eastAsia="Times New Roman" w:hAnsi="Palatino Linotype" w:cs="Arial"/>
          <w:lang w:eastAsia="pt-BR"/>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Os rendimentos das aplicações financeiras e outros ingressos orçamentários que venham a ser arrecadadas através do Poder Legislativo, serão contabilizados como receita pelo Poder Executivo, tendo como contrapartida o repasse referido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Ao final do exercício financeiro de 2018,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O eventual saldo de recursos financeiros que não for devolvido no prazo estabelecido no parágrafo anterior, será devidamente registrado na contabilidade e considerado como antecipação de repasse do exercício financeiro de 2019.</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24.</w:t>
      </w:r>
      <w:r w:rsidRPr="00273032">
        <w:rPr>
          <w:rFonts w:ascii="Palatino Linotype" w:eastAsia="Times New Roman" w:hAnsi="Palatino Linotype" w:cs="Arial"/>
          <w:lang w:eastAsia="pt-BR"/>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execução das Receitas e das Despesas identificará com codificação adequada cada uma das fontes de recursos, de forma a permitir o adequado controle da execução dos recursos mencionados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Art. 25. A despesa não poderá ser realizada se não houver comprovada e suficiente disponibilidade de dotação orçamentária para atendê-la, sendo vedada a adoção de qualquer procedimento que viabilize a sua realização sem observar a referida disponibilidade.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A contabilidade registrará todos os atos e os fatos relativos à gestão orçamentário-financeira, independentemente de sua legalidade, sem prejuízo das responsabilidades e demais consequências advindas da inobservância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2º A realização de atos de gestão orçamentária, financeira e patrimonial, após 31 de dezembro de 2018, relativos ao exercício findo, não será permitida, exceto ajustes para fins de elaboração das demonstrações contábeis, os quais deverão ocorrer até o trigésimo dia de seu encerramento.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26.</w:t>
      </w:r>
      <w:r w:rsidRPr="00273032">
        <w:rPr>
          <w:rFonts w:ascii="Palatino Linotype" w:eastAsia="Times New Roman" w:hAnsi="Palatino Linotype" w:cs="Arial"/>
          <w:lang w:eastAsia="pt-BR"/>
        </w:rPr>
        <w:t xml:space="preserve"> Para efeito do disposto no § 1º do art. 1º e do art. 42 da LC nº 101/2000, considera-se contraída a obrigação, e exigível o empenho da despesa correspondente, no momento da formalização do contrato administrativo ou instrumento congênere.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de despesas relativas à obras e prestação de serviços, consideram-se compromissadas apenas as prestações cujos pagamentos devam ser realizados no exercício financeiro, observado o cronograma pactuado.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9" w:name="_Toc484165654"/>
      <w:r w:rsidRPr="00273032">
        <w:rPr>
          <w:rFonts w:ascii="Palatino Linotype" w:eastAsia="Times New Roman" w:hAnsi="Palatino Linotype" w:cs="Arial"/>
          <w:b/>
          <w:bCs/>
          <w:lang w:eastAsia="pt-BR"/>
        </w:rPr>
        <w:t>Seção IV - Das Diretrizes sobre Alterações da Lei Orçamentária</w:t>
      </w:r>
      <w:bookmarkEnd w:id="9"/>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27.</w:t>
      </w:r>
      <w:r w:rsidRPr="00273032">
        <w:rPr>
          <w:rFonts w:ascii="Palatino Linotype" w:eastAsia="Times New Roman" w:hAnsi="Palatino Linotype" w:cs="Arial"/>
          <w:lang w:eastAsia="pt-BR"/>
        </w:rPr>
        <w:t xml:space="preserve"> A abertura de créditos suplementares e especiais dependerá da existência de recursos disponíveis para a despesa, nos termos da Lei Federal nº 4.320/64.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Os recursos alocados na Lei Orçamentária de 2018 para pagamento de precatórios somente poderão ser cancelados para a abertura de créditos suplementares ou especiais para finalidades diversas mediante autorização legislativa específica.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Nos casos de abertura de créditos adicionais à conta de superávit financeiro, as exposições de motivos conterão informações relativas 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superávit financeiro do exercício de 2017,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créditos especiais e extraordinários reabertos no exercício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III - valores já utilizados em créditos adicionais, abertos ou em tramitação;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IV – saldo atualizado do superávit financeiro disponível, por fonte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5º Considera-se superávit financeiro do exercício anterior, para fins do § 2º do art. 43 da Lei Federal nº 4.320/64, os recursos que forem disponibilizados a partir do cancelamento de restos a pagar durante o exercício de 2018, obedecida a fonte de recursos correspondente.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6º Os projetos de lei relativos a créditos suplementares ou especiais solicitados pelo Poder Legislativo, com indicação de recursos de redução de dotações do próprio poder, serão encaminhados à Câmara Municipal no prazo de até 05(cinco) dias, a contar do recebimento da solicitação.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7º As solicitações de que trata o §6º serão acompanhadas da exposição de motivos de que trata o § 2º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28.</w:t>
      </w:r>
      <w:r w:rsidRPr="00273032">
        <w:rPr>
          <w:rFonts w:ascii="Palatino Linotype" w:eastAsia="Times New Roman" w:hAnsi="Palatino Linotype" w:cs="Arial"/>
          <w:lang w:eastAsia="pt-BR"/>
        </w:rPr>
        <w:t xml:space="preserve"> No âmbito do Poder Legislativo, a abertura de créditos suplementares autorizados na Lei Orçamentária de 2018, com indicação de recursos compensatórios do próprio órgão, nos termos do art. 43, § 1º, inciso III, da Lei Federal nº 4.320/1964, proceder-se-á por ato do Presidente da Câmara dos Vereadores.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29.</w:t>
      </w:r>
      <w:r w:rsidRPr="00273032">
        <w:rPr>
          <w:rFonts w:ascii="Palatino Linotype" w:eastAsia="Times New Roman" w:hAnsi="Palatino Linotype" w:cs="Arial"/>
          <w:lang w:eastAsia="pt-BR"/>
        </w:rPr>
        <w:t xml:space="preserve"> A reabertura dos créditos especiais e extraordinários, conforme disposto no art. 167, § 2º, da Constituição Federal, será efetivada, quando necessária, até 31 de dezembro de 2018.</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30.</w:t>
      </w:r>
      <w:r w:rsidRPr="00273032">
        <w:rPr>
          <w:rFonts w:ascii="Palatino Linotype" w:eastAsia="Times New Roman" w:hAnsi="Palatino Linotype" w:cs="Arial"/>
          <w:lang w:eastAsia="pt-BR"/>
        </w:rPr>
        <w:t xml:space="preserve"> O Poder Executivo poderá, mediante Decreto, transpor, remanejar, transferir ou utilizar, total ou parcialmente, as dotações orçamentárias aprovadas na Lei Orçamentária de 2018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A transposição, transferência ou remanejamento não poderá resultar em alteração dos valores das programações aprovadas na Lei Orçamentária ou em créditos adicionais, podendo haver, excepcionalmente, ajuste na classificação funcional.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31.</w:t>
      </w:r>
      <w:r w:rsidRPr="00273032">
        <w:rPr>
          <w:rFonts w:ascii="Palatino Linotype" w:eastAsia="Times New Roman" w:hAnsi="Palatino Linotype" w:cs="Arial"/>
          <w:lang w:eastAsia="pt-BR"/>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0" w:name="_Toc484165655"/>
      <w:r w:rsidRPr="00273032">
        <w:rPr>
          <w:rFonts w:ascii="Palatino Linotype" w:eastAsia="Times New Roman" w:hAnsi="Palatino Linotype" w:cs="Arial"/>
          <w:b/>
          <w:bCs/>
          <w:lang w:eastAsia="pt-BR"/>
        </w:rPr>
        <w:t>Seção V - Da Destinação de Recursos Públicos a Pessoas Físicas e Jurídicas</w:t>
      </w:r>
      <w:bookmarkEnd w:id="10"/>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 - Das Subvenções Econômicas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32.</w:t>
      </w:r>
      <w:r w:rsidRPr="00273032">
        <w:rPr>
          <w:rFonts w:ascii="Palatino Linotype" w:eastAsia="Times New Roman" w:hAnsi="Palatino Linotype" w:cs="Arial"/>
          <w:lang w:eastAsia="pt-BR"/>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Em atendimento ao disposto no art. 19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 destinação de recursos às entidades privadas com fins lucrativos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somente poderá ocorrer por meio de subvenções econômicas, sendo vedada a transferência a título de contribuições ou auxílios para despesas de capital.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lang w:eastAsia="pt-BR"/>
        </w:rPr>
        <w:t>§ 2</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As transferências a entidades privadas com fins lucrativos de que trata o “caput” deste artigo, serão executadas </w:t>
      </w:r>
      <w:r w:rsidRPr="00273032">
        <w:rPr>
          <w:rFonts w:ascii="Palatino Linotype" w:eastAsia="Times New Roman" w:hAnsi="Palatino Linotype" w:cs="Arial"/>
          <w:snapToGrid w:val="0"/>
          <w:lang w:eastAsia="pt-BR"/>
        </w:rPr>
        <w:t>na modalidade de aplicação “60 – Transferências a Instituições Privadas com fins lucrativos” e no elemento de despesa “45 – Subvenções Econômicas”.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33.</w:t>
      </w:r>
      <w:r w:rsidRPr="00273032">
        <w:rPr>
          <w:rFonts w:ascii="Palatino Linotype" w:eastAsia="Times New Roman" w:hAnsi="Palatino Linotype" w:cs="Arial"/>
          <w:snapToGrid w:val="0"/>
          <w:lang w:eastAsia="pt-BR"/>
        </w:rPr>
        <w:t xml:space="preserve"> </w:t>
      </w:r>
      <w:r w:rsidRPr="00273032">
        <w:rPr>
          <w:rFonts w:ascii="Palatino Linotype" w:eastAsia="Times New Roman" w:hAnsi="Palatino Linotype" w:cs="Arial"/>
          <w:lang w:eastAsia="pt-BR"/>
        </w:rPr>
        <w:t>No caso das pessoas físicas, a ajuda financeira referida art. 26 da Lei Complementar nº 101/2000 será efetivada exclusivamente por meio de programas instituídos nas áreas de assistência social, saúde, educação, cultura, desporto, geração de trabalho e renda, agricultura e política habitacional, nos termos da legislação específica.</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 - Das Subvenções Sociais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34.</w:t>
      </w:r>
      <w:r w:rsidRPr="00273032">
        <w:rPr>
          <w:rFonts w:ascii="Palatino Linotype" w:eastAsia="Times New Roman" w:hAnsi="Palatino Linotype" w:cs="Arial"/>
          <w:lang w:eastAsia="pt-BR"/>
        </w:rPr>
        <w:t xml:space="preserve"> A transferência de recursos a título de subvenções sociais, nos termos dos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12, § 3º, I, 16 e 17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atenderá às entidades privadas sem fins lucrativos que exerçam atividades de natureza continuada nas áreas de cultura, assistência social, saúde e educação.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III - Das Contribuições Correntes e de Capital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35.</w:t>
      </w:r>
      <w:r w:rsidRPr="00273032">
        <w:rPr>
          <w:rFonts w:ascii="Palatino Linotype" w:eastAsia="Times New Roman" w:hAnsi="Palatino Linotype" w:cs="Arial"/>
          <w:snapToGrid w:val="0"/>
          <w:lang w:eastAsia="pt-BR"/>
        </w:rPr>
        <w:t xml:space="preserve"> A transferência de recursos a título de contribuição corrente somente será destinada a entidades sem fins lucrativos que preencham uma das seguintes condições: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estejam autorizadas em lei que identifique expressamente a entidade beneficiária;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estejam nominalmente identificadas na Lei Orçamentária de 2018; ou</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III - sejam selecionadas para execução, em parceria com a Administração Pública Municipal, de atividades ou projetos que </w:t>
      </w:r>
      <w:r w:rsidRPr="00273032">
        <w:rPr>
          <w:rFonts w:ascii="Palatino Linotype" w:eastAsia="Times New Roman" w:hAnsi="Palatino Linotype" w:cs="Arial"/>
          <w:snapToGrid w:val="0"/>
          <w:lang w:eastAsia="pt-BR"/>
        </w:rPr>
        <w:lastRenderedPageBreak/>
        <w:t>contribuam diretamente para o alcance de diretrizes, objetivos e metas previstas no Plano Plurianual.</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No caso dos incisos I e II do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a transferência dependerá da formalização do ajuste, observadas as exigências legais aplicáveis à espécie.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36.</w:t>
      </w:r>
      <w:r w:rsidRPr="00273032">
        <w:rPr>
          <w:rFonts w:ascii="Palatino Linotype" w:eastAsia="Times New Roman" w:hAnsi="Palatino Linotype" w:cs="Arial"/>
          <w:snapToGrid w:val="0"/>
          <w:lang w:eastAsia="pt-BR"/>
        </w:rPr>
        <w:t xml:space="preserve"> A alocação de recursos para entidades privadas sem fins lucrativos, a título de contribuições de capital, fica condicionada à autorização em lei especial anterior de que trata 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da Lei Federal n</w:t>
      </w:r>
      <w:r w:rsidRPr="00273032">
        <w:rPr>
          <w:rFonts w:ascii="Palatino Linotype" w:eastAsia="Times New Roman" w:hAnsi="Palatino Linotype" w:cs="Arial"/>
          <w:u w:val="single"/>
          <w:vertAlign w:val="superscript"/>
          <w:lang w:eastAsia="pt-BR"/>
        </w:rPr>
        <w:t xml:space="preserve">o </w:t>
      </w: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snapToGrid w:val="0"/>
          <w:lang w:eastAsia="pt-BR"/>
        </w:rPr>
        <w:t>4.320/1964.</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lang w:eastAsia="pt-BR"/>
        </w:rPr>
      </w:pPr>
      <w:r w:rsidRPr="00273032">
        <w:rPr>
          <w:rFonts w:ascii="Palatino Linotype" w:eastAsia="Times New Roman" w:hAnsi="Palatino Linotype" w:cs="Arial"/>
          <w:b/>
          <w:lang w:eastAsia="pt-BR"/>
        </w:rPr>
        <w:t>Subseção IV - Dos Auxílios</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37.</w:t>
      </w:r>
      <w:r w:rsidRPr="00273032">
        <w:rPr>
          <w:rFonts w:ascii="Palatino Linotype" w:eastAsia="Times New Roman" w:hAnsi="Palatino Linotype" w:cs="Arial"/>
          <w:lang w:eastAsia="pt-BR"/>
        </w:rPr>
        <w:t xml:space="preserve"> A transferência de recursos a título de auxílios, previstos no art. 12, § 6</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da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4.320/1964, somente poderá ser realizada para entidades privadas sem fins lucrativos que sejam:</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de atendimento direto e gratuito ao público e voltadas para a educação básica;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para o desenvolvimento de programas voltados a manutenção e preservação do Meio Ambiente;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voltadas a ações de saúde e de atendimento direto e gratuito ao público, prestadas por entidades sem fins lucrativos que sejam certificadas como entidades beneficentes de assistência social na área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qualificadas como Organização da Sociedade Civil de Interesse Público - OSCIP, com termo de parceria firmada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9.790/1999, e que participem da execução de programas constantes no plano plurianual, devendo a destinação de recursos guardar conformidade com os objetivos sociais da entidade;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qualificadas como Organizações Sociais – OS, com contrato de gestão celebrado com o Poder Público Municipal, de acordo com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qualificadas para o desenvolvimento de atividades esportivas que contribuam para a formação e capacitação de atletas;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destinada a atender, assegurar e a promover o exercício dos direitos e das liberdades fundamentais por pessoa com deficiência, visando à sua habilitação, reabilitação e integração social e cidadania, nos termos da Lei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13.146/2015;</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VIII - constituídas sob a forma de associações ou cooperativas formadas exclusivamente por pessoas físicas em situação de </w:t>
      </w:r>
      <w:r w:rsidRPr="00273032">
        <w:rPr>
          <w:rFonts w:ascii="Palatino Linotype" w:eastAsia="Times New Roman" w:hAnsi="Palatino Linotype" w:cs="Arial"/>
          <w:lang w:eastAsia="pt-BR"/>
        </w:rPr>
        <w:lastRenderedPageBreak/>
        <w:t>risco social, reconhecidas pelo poder público como catadores de materiais recicláveis e/ou reutilizáveis, cujas ações estejam contempladas no Plano Municipal de Gerenciamento de Resíduos Sólidos, de que trata 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12.305/2010, regulamentada pelo Decreto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7.404/2010;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IX - voltadas ao atendimento direto e gratuito ao público na área de assistência social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se destinem a pessoas idosas, crianças e adolescentes em situação de vulnerabilidade social, risco pessoal e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sejam voltadas ao atendimento de pessoas em situação de vulnerabilidade social, violação de direito ou diretamente alcançadas por programas e ações de combate à pobreza e geração de trabalho e renda;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do inciso I, a transferência de recursos públicos deve ser obrigatoriamente justificada e vinculada ao plano de expansão da oferta pública na respectiva etapa e modalidade de educação.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do inciso IV, as</w:t>
      </w:r>
      <w:r w:rsidRPr="00273032">
        <w:rPr>
          <w:rFonts w:ascii="Palatino Linotype" w:eastAsia="Times New Roman" w:hAnsi="Palatino Linotype" w:cs="Arial"/>
          <w:snapToGrid w:val="0"/>
          <w:lang w:eastAsia="pt-BR"/>
        </w:rPr>
        <w:t xml:space="preserve"> transferências serão efetuadas por meio de termo de parceria, caso em que deverá ser observada a legislação específica pertinente a essas entidades e processo seletivo de ampla divulgação.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Subseção V - Das Disposições Gerais para Destinação de Recursos Públicos para Pessoas Físicas e Jurídicas</w:t>
      </w:r>
    </w:p>
    <w:p w:rsidR="00273032" w:rsidRPr="00273032" w:rsidRDefault="00273032" w:rsidP="00273032">
      <w:pPr>
        <w:spacing w:after="0" w:line="240" w:lineRule="auto"/>
        <w:jc w:val="center"/>
        <w:rPr>
          <w:rFonts w:ascii="Palatino Linotype" w:eastAsia="Times New Roman" w:hAnsi="Palatino Linotype" w:cs="Arial"/>
          <w:b/>
          <w:bCs/>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38.</w:t>
      </w:r>
      <w:r w:rsidRPr="00273032">
        <w:rPr>
          <w:rFonts w:ascii="Palatino Linotype" w:eastAsia="Times New Roman" w:hAnsi="Palatino Linotype" w:cs="Arial"/>
          <w:snapToGrid w:val="0"/>
          <w:lang w:eastAsia="pt-BR"/>
        </w:rPr>
        <w:t xml:space="preserve"> Sem prejuízo das demais disposições contidas nesta seção, a transferência de recursos prevista na Lei Federal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snapToGrid w:val="0"/>
          <w:lang w:eastAsia="pt-BR"/>
        </w:rPr>
        <w:t xml:space="preserve"> 4.320/1964, a entidade privada sem fins lucrativos, dependerá ainda 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execução da despesa na modalidade de aplicação “50 – Transferências a Instituições Privadas sem fins lucrativos” e nos elementos de despesa “41 - Contribuições”, “42 - Auxílio” ou “43 - Subvenções Sociais”;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estar regularmente constituída, assim considerado: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no mínimo 01 (um) ano de existência,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b) tenha escrituração de acordo com os princípios fundamentais de contabilidade e com as Normas Brasileiras de Contabilidade;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III – ter apresentado as prestações de contas de recursos anteriormente recebidos, nos prazos e condições fixados na legislação e no convênio ou termo de parceria, contrato ou instrumento congênere celebrados;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IV – inexistir prestação de contas rejeitada pela Administração Pública nos últimos 5 (cinco) anos, exceto se a apreciação das contas </w:t>
      </w:r>
      <w:r w:rsidRPr="00273032">
        <w:rPr>
          <w:rFonts w:ascii="Palatino Linotype" w:eastAsia="Times New Roman" w:hAnsi="Palatino Linotype" w:cs="Arial"/>
          <w:snapToGrid w:val="0"/>
          <w:lang w:eastAsia="pt-BR"/>
        </w:rPr>
        <w:lastRenderedPageBreak/>
        <w:t>estiver pendente de decisão sobre recurso com efeito suspensivo, for sanada a irregularidade ou quitados os débitos ou reconsiderada a decisão pela rejeição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V – não ter como dirigente pessoa que:</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a) seja membro de Poder, órgão ou entidade da Administração Pública Municipal, estendendo-se a vedação aos respectivos cônjuges ou companheiros, bem como parentes em linha reta, colateral ou por afinidade, até o segundo grau;</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snapToGrid w:val="0"/>
          <w:lang w:eastAsia="pt-BR"/>
        </w:rPr>
        <w:t xml:space="preserve">b) </w:t>
      </w:r>
      <w:r w:rsidRPr="00273032">
        <w:rPr>
          <w:rFonts w:ascii="Palatino Linotype" w:eastAsia="Times New Roman" w:hAnsi="Palatino Linotype" w:cs="Arial"/>
          <w:lang w:eastAsia="pt-BR"/>
        </w:rPr>
        <w:t>incida em quaisquer das hipóteses de inelegibilidade previstas no art. 1</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inciso I, da Lei Complementar n</w:t>
      </w:r>
      <w:r w:rsidRPr="00273032">
        <w:rPr>
          <w:rFonts w:ascii="Palatino Linotype" w:eastAsia="Times New Roman" w:hAnsi="Palatino Linotype" w:cs="Arial"/>
          <w:u w:val="single"/>
          <w:vertAlign w:val="superscript"/>
          <w:lang w:eastAsia="pt-BR"/>
        </w:rPr>
        <w:t>o</w:t>
      </w:r>
      <w:r w:rsidRPr="00273032">
        <w:rPr>
          <w:rFonts w:ascii="Palatino Linotype" w:eastAsia="Times New Roman" w:hAnsi="Palatino Linotype" w:cs="Arial"/>
          <w:lang w:eastAsia="pt-BR"/>
        </w:rPr>
        <w:t xml:space="preserve"> 64, de 18 de maio de 1990;</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lang w:eastAsia="pt-BR"/>
        </w:rPr>
        <w:t xml:space="preserve">c) </w:t>
      </w:r>
      <w:r w:rsidRPr="00273032">
        <w:rPr>
          <w:rFonts w:ascii="Palatino Linotype" w:eastAsia="Times New Roman" w:hAnsi="Palatino Linotype" w:cs="Arial"/>
          <w:color w:val="000000"/>
          <w:lang w:eastAsia="pt-BR"/>
        </w:rPr>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273032" w:rsidRPr="00273032" w:rsidRDefault="00273032" w:rsidP="00273032">
      <w:pPr>
        <w:spacing w:after="0" w:line="240" w:lineRule="auto"/>
        <w:ind w:firstLine="4253"/>
        <w:jc w:val="both"/>
        <w:rPr>
          <w:rFonts w:ascii="Palatino Linotype" w:eastAsia="Times New Roman" w:hAnsi="Palatino Linotype" w:cs="Arial"/>
          <w:color w:val="000000"/>
          <w:lang w:eastAsia="pt-BR"/>
        </w:rPr>
      </w:pPr>
      <w:r w:rsidRPr="00273032">
        <w:rPr>
          <w:rFonts w:ascii="Palatino Linotype" w:eastAsia="Times New Roman" w:hAnsi="Palatino Linotype" w:cs="Arial"/>
          <w:color w:val="000000"/>
          <w:lang w:eastAsia="pt-BR"/>
        </w:rPr>
        <w:t>d) tenha sido julgada responsável por falta grave e inabilitada para o exercício de cargo em comissão ou função de confiança, enquanto durar a inabilitação;</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color w:val="000000"/>
          <w:lang w:eastAsia="pt-BR"/>
        </w:rPr>
        <w:t>e) tenha sido considerada responsável por ato de improbidade, enquanto durarem os prazos estabelecidos nos</w:t>
      </w:r>
      <w:r w:rsidRPr="00273032">
        <w:rPr>
          <w:rFonts w:ascii="Palatino Linotype" w:eastAsia="Arial Unicode MS" w:hAnsi="Palatino Linotype" w:cs="Arial"/>
          <w:lang w:eastAsia="pt-BR"/>
        </w:rPr>
        <w:t> </w:t>
      </w:r>
      <w:r w:rsidRPr="00273032">
        <w:rPr>
          <w:rFonts w:ascii="Palatino Linotype" w:eastAsia="Times New Roman" w:hAnsi="Palatino Linotype" w:cs="Arial"/>
          <w:lang w:eastAsia="pt-BR"/>
        </w:rPr>
        <w:t>incisos I, II e III do art. 12 da Lei no</w:t>
      </w:r>
      <w:r w:rsidRPr="00273032">
        <w:rPr>
          <w:rFonts w:ascii="Palatino Linotype" w:eastAsia="Arial Unicode MS" w:hAnsi="Palatino Linotype" w:cs="Arial"/>
          <w:color w:val="0000FF"/>
          <w:u w:val="single"/>
          <w:lang w:eastAsia="pt-BR"/>
        </w:rPr>
        <w:t> </w:t>
      </w:r>
      <w:r w:rsidRPr="00273032">
        <w:rPr>
          <w:rFonts w:ascii="Palatino Linotype" w:eastAsia="Times New Roman" w:hAnsi="Palatino Linotype" w:cs="Arial"/>
          <w:lang w:eastAsia="pt-BR"/>
        </w:rPr>
        <w:t>8.429, de 2 de junho de 1992</w:t>
      </w:r>
      <w:r w:rsidRPr="00273032">
        <w:rPr>
          <w:rFonts w:ascii="Palatino Linotype" w:eastAsia="Times New Roman" w:hAnsi="Palatino Linotype" w:cs="Arial"/>
          <w:color w:val="000000"/>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VI –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Caberá a Secretaria Municipal de Finanças verificar e declarar a implementação das condições previstas neste artigo e demais requisitos estabelecidos nesta seção, comunicando à Unidade Central de Controle Interno eventuais irregularidades verificadas.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39.</w:t>
      </w:r>
      <w:r w:rsidRPr="00273032">
        <w:rPr>
          <w:rFonts w:ascii="Palatino Linotype" w:eastAsia="Times New Roman" w:hAnsi="Palatino Linotype" w:cs="Arial"/>
          <w:lang w:eastAsia="pt-BR"/>
        </w:rPr>
        <w:t xml:space="preserve"> É necessária a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40.</w:t>
      </w:r>
      <w:r w:rsidRPr="00273032">
        <w:rPr>
          <w:rFonts w:ascii="Palatino Linotype" w:eastAsia="Times New Roman" w:hAnsi="Palatino Linotype" w:cs="Arial"/>
          <w:lang w:eastAsia="pt-BR"/>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Enquanto vigentes os respectivos convênios, termos de parceria, contratos ou instrumentos congêneres, o </w:t>
      </w:r>
      <w:r w:rsidRPr="00273032">
        <w:rPr>
          <w:rFonts w:ascii="Palatino Linotype" w:eastAsia="Times New Roman" w:hAnsi="Palatino Linotype" w:cs="Arial"/>
          <w:snapToGrid w:val="0"/>
          <w:lang w:eastAsia="pt-BR"/>
        </w:rPr>
        <w:lastRenderedPageBreak/>
        <w:t>Poder Executivo deverá divulgar e manter atualizadas na internet relação das entidades privadas beneficiadas com recursos de subvenções, contribuições e auxílios, contendo, pelo menos: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 – nome e CNPJ da entidade;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 – nome, função e CPF dos dirigentes;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III – área de atuação;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endereço da sede;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 – data, objeto, valor e número do convênio, termo de parceria, contrato ou instrumento congênere;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 xml:space="preserve">VI – valores transferidos e respectivas datas. </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snapToGrid w:val="0"/>
          <w:lang w:eastAsia="pt-BR"/>
        </w:rPr>
        <w:t>Art. 41.</w:t>
      </w:r>
      <w:r w:rsidRPr="00273032">
        <w:rPr>
          <w:rFonts w:ascii="Palatino Linotype" w:eastAsia="Times New Roman" w:hAnsi="Palatino Linotype" w:cs="Arial"/>
          <w:snapToGrid w:val="0"/>
          <w:lang w:eastAsia="pt-BR"/>
        </w:rPr>
        <w:t xml:space="preserve"> Não serão consideradas subvenções, auxílios ou contribuições, o </w:t>
      </w:r>
      <w:r w:rsidRPr="00273032">
        <w:rPr>
          <w:rFonts w:ascii="Palatino Linotype" w:eastAsia="Times New Roman" w:hAnsi="Palatino Linotype" w:cs="Arial"/>
          <w:lang w:eastAsia="pt-BR"/>
        </w:rPr>
        <w:t>rateio das despesas decorrentes da participação do Município em Consórcios Públicos instituído nos termos da Lei Federal nº 11.107/2005.</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42.</w:t>
      </w:r>
      <w:r w:rsidRPr="00273032">
        <w:rPr>
          <w:rFonts w:ascii="Palatino Linotype" w:eastAsia="Times New Roman" w:hAnsi="Palatino Linotype" w:cs="Arial"/>
          <w:snapToGrid w:val="0"/>
          <w:lang w:eastAsia="pt-BR"/>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parceria, ajuste ou instrumento congênere, observado o princípio da competência da despesa, previsto no art. 50, inciso II, da Lei Complementar n</w:t>
      </w:r>
      <w:r w:rsidRPr="00273032">
        <w:rPr>
          <w:rFonts w:ascii="Palatino Linotype" w:eastAsia="Times New Roman" w:hAnsi="Palatino Linotype" w:cs="Arial"/>
          <w:snapToGrid w:val="0"/>
          <w:u w:val="single"/>
          <w:vertAlign w:val="superscript"/>
          <w:lang w:eastAsia="pt-BR"/>
        </w:rPr>
        <w:t>o</w:t>
      </w:r>
      <w:r w:rsidRPr="00273032">
        <w:rPr>
          <w:rFonts w:ascii="Palatino Linotype" w:eastAsia="Times New Roman" w:hAnsi="Palatino Linotype" w:cs="Arial"/>
          <w:snapToGrid w:val="0"/>
          <w:lang w:eastAsia="pt-BR"/>
        </w:rPr>
        <w:t> 101/2000.</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Art. 43.</w:t>
      </w:r>
      <w:r w:rsidRPr="00273032">
        <w:rPr>
          <w:rFonts w:ascii="Palatino Linotype" w:eastAsia="Times New Roman" w:hAnsi="Palatino Linotype" w:cs="Arial"/>
          <w:snapToGrid w:val="0"/>
          <w:lang w:eastAsia="pt-BR"/>
        </w:rPr>
        <w:t xml:space="preserve"> Toda movimentação de recursos relativos às subvenções, contribuições e auxílios de que trata esta Seção, por parte das entidades beneficiárias, somente será realizada observando-se os seguintes preceitos: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 – depósito e movimentação em conta bancária específica para cada instrumento de transferência;</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snapToGrid w:val="0"/>
          <w:lang w:eastAsia="pt-BR"/>
        </w:rPr>
        <w:t>II - desembolsos mediante documento bancário, por meio do qual se faça crédito na conta bancária de titularidade do fornecedor ou prestador de serviços.</w:t>
      </w:r>
    </w:p>
    <w:p w:rsidR="00273032" w:rsidRPr="00273032" w:rsidRDefault="00273032" w:rsidP="00273032">
      <w:pPr>
        <w:spacing w:after="0" w:line="240" w:lineRule="auto"/>
        <w:ind w:firstLine="4253"/>
        <w:jc w:val="both"/>
        <w:rPr>
          <w:rFonts w:ascii="Palatino Linotype" w:eastAsia="Times New Roman" w:hAnsi="Palatino Linotype" w:cs="Arial"/>
          <w:snapToGrid w:val="0"/>
          <w:lang w:eastAsia="pt-BR"/>
        </w:rPr>
      </w:pPr>
      <w:r w:rsidRPr="00273032">
        <w:rPr>
          <w:rFonts w:ascii="Palatino Linotype" w:eastAsia="Times New Roman" w:hAnsi="Palatino Linotype" w:cs="Arial"/>
          <w:b/>
          <w:snapToGrid w:val="0"/>
          <w:lang w:eastAsia="pt-BR"/>
        </w:rPr>
        <w:t>Parágrafo único.</w:t>
      </w:r>
      <w:r w:rsidRPr="00273032">
        <w:rPr>
          <w:rFonts w:ascii="Palatino Linotype" w:eastAsia="Times New Roman" w:hAnsi="Palatino Linotype" w:cs="Arial"/>
          <w:snapToGrid w:val="0"/>
          <w:lang w:eastAsia="pt-BR"/>
        </w:rPr>
        <w:t xml:space="preserve">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273032" w:rsidRPr="00273032" w:rsidRDefault="00273032" w:rsidP="00273032">
      <w:pPr>
        <w:spacing w:after="0" w:line="240" w:lineRule="auto"/>
        <w:rPr>
          <w:rFonts w:ascii="Palatino Linotype" w:eastAsia="Times New Roman" w:hAnsi="Palatino Linotype" w:cs="Arial"/>
          <w:lang w:eastAsia="pt-BR"/>
        </w:rPr>
      </w:pPr>
      <w:bookmarkStart w:id="11" w:name="_Toc484165656"/>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Seção VI - Dos Empréstimos, Financiamentos e Refinanciamentos</w:t>
      </w:r>
      <w:bookmarkEnd w:id="11"/>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44.</w:t>
      </w:r>
      <w:r w:rsidRPr="00273032">
        <w:rPr>
          <w:rFonts w:ascii="Palatino Linotype" w:eastAsia="Times New Roman" w:hAnsi="Palatino Linotype" w:cs="Arial"/>
          <w:lang w:eastAsia="pt-BR"/>
        </w:rPr>
        <w:t xml:space="preserve"> Observado o disposto no art. 27 da LC nº 101/2000, a concessão de empréstimos e financiamentos destinados a pessoas físicas e jurídicas fica condicionada ao pagamento de juros não inferiores a 6% (seis por cento) ao ano, ou ao custo de captação e também às seguintes exigências: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 - concessão através de fundo rotativo ou programa governamental específico;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pré-seleção e aprovação dos beneficiários pelo Poder Público;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formalização de contrato;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assunção, pelo mutuário, dos encargos financeiros, eventuais comissões, taxas e outras despesas cobradas pelo agente financeiro, quando for o caso.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No caso das pessoas jurídicas, serão consideradas como prioritárias, para a concessão de empréstimos ou financiamentos, as empresas que: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desenvolvam projetos de responsabilidade </w:t>
      </w:r>
      <w:proofErr w:type="spellStart"/>
      <w:r w:rsidRPr="00273032">
        <w:rPr>
          <w:rFonts w:ascii="Palatino Linotype" w:eastAsia="Times New Roman" w:hAnsi="Palatino Linotype" w:cs="Arial"/>
          <w:lang w:eastAsia="pt-BR"/>
        </w:rPr>
        <w:t>sócio</w:t>
      </w:r>
      <w:r w:rsidR="0039043F">
        <w:rPr>
          <w:rFonts w:ascii="Palatino Linotype" w:eastAsia="Times New Roman" w:hAnsi="Palatino Linotype" w:cs="Arial"/>
          <w:lang w:eastAsia="pt-BR"/>
        </w:rPr>
        <w:t>-ambiental</w:t>
      </w:r>
      <w:proofErr w:type="spellEnd"/>
      <w:r w:rsidR="0039043F">
        <w:rPr>
          <w:rFonts w:ascii="Palatino Linotype" w:eastAsia="Times New Roman" w:hAnsi="Palatino Linotype" w:cs="Arial"/>
          <w:lang w:eastAsia="pt-BR"/>
        </w:rPr>
        <w:t>;</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II - integrem as cadeias produtivas locais;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empreguem pessoas com deficiência em proporção superior à exigida no art. 110 da Lei Federal  n</w:t>
      </w:r>
      <w:r w:rsidRPr="00273032">
        <w:rPr>
          <w:rFonts w:ascii="Palatino Linotype" w:eastAsia="Times New Roman" w:hAnsi="Palatino Linotype" w:cs="Arial"/>
          <w:position w:val="8"/>
          <w:vertAlign w:val="superscript"/>
          <w:lang w:eastAsia="pt-BR"/>
        </w:rPr>
        <w:t xml:space="preserve">o </w:t>
      </w:r>
      <w:r w:rsidRPr="00273032">
        <w:rPr>
          <w:rFonts w:ascii="Palatino Linotype" w:eastAsia="Times New Roman" w:hAnsi="Palatino Linotype" w:cs="Arial"/>
          <w:lang w:eastAsia="pt-BR"/>
        </w:rPr>
        <w:t xml:space="preserve">8.213/1991;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adotem políticas de participação dos trabalhadores nos lucros;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Através de lei específica, poderá ser concedido subsídio para o pagamento dos empréstimos e financiamentos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As prorrogações e composições de dívidas decorrentes de empréstimos, financiamentos e refinanciamentos concedidos com recursos do Município dependem de autorização expressa em lei específica.</w:t>
      </w:r>
    </w:p>
    <w:p w:rsidR="00273032" w:rsidRPr="00273032" w:rsidRDefault="00273032" w:rsidP="00273032">
      <w:pPr>
        <w:spacing w:after="0" w:line="240" w:lineRule="auto"/>
        <w:rPr>
          <w:rFonts w:ascii="Palatino Linotype" w:eastAsia="Times New Roman" w:hAnsi="Palatino Linotype" w:cs="Arial"/>
          <w:lang w:eastAsia="pt-BR"/>
        </w:rPr>
      </w:pPr>
      <w:bookmarkStart w:id="12" w:name="_Toc484165657"/>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 - Das Disposições Relativas à Dívida Pública Municipal</w:t>
      </w:r>
      <w:bookmarkEnd w:id="12"/>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45.</w:t>
      </w:r>
      <w:r w:rsidRPr="00273032">
        <w:rPr>
          <w:rFonts w:ascii="Palatino Linotype" w:eastAsia="Times New Roman" w:hAnsi="Palatino Linotype" w:cs="Arial"/>
          <w:lang w:eastAsia="pt-BR"/>
        </w:rPr>
        <w:t xml:space="preserve"> A lei orçamentária anual garantirá recursos para pagamento da dívida pública municipal, nos termos dos compromissos firmados, inclusive com a previdência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46.</w:t>
      </w:r>
      <w:r w:rsidRPr="00273032">
        <w:rPr>
          <w:rFonts w:ascii="Palatino Linotype" w:eastAsia="Times New Roman" w:hAnsi="Palatino Linotype" w:cs="Arial"/>
          <w:lang w:eastAsia="pt-BR"/>
        </w:rPr>
        <w:t xml:space="preserve">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bookmarkStart w:id="13" w:name="_Toc484165658"/>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VII - Das Disposições Relativas às Despesas com</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Pessoal e Encargos Sociais</w:t>
      </w:r>
      <w:bookmarkEnd w:id="13"/>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47.</w:t>
      </w:r>
      <w:r w:rsidRPr="00273032">
        <w:rPr>
          <w:rFonts w:ascii="Palatino Linotype" w:eastAsia="Times New Roman" w:hAnsi="Palatino Linotype" w:cs="Arial"/>
          <w:lang w:eastAsia="pt-BR"/>
        </w:rPr>
        <w:t xml:space="preserve"> No exercício de 2018, as despesas globais com pessoal e encargos sociais do Município, dos Poderes Executivo e </w:t>
      </w:r>
      <w:r w:rsidRPr="00273032">
        <w:rPr>
          <w:rFonts w:ascii="Palatino Linotype" w:eastAsia="Times New Roman" w:hAnsi="Palatino Linotype" w:cs="Arial"/>
          <w:lang w:eastAsia="pt-BR"/>
        </w:rPr>
        <w:lastRenderedPageBreak/>
        <w:t>Legislativo, compreendidas as entidades mencionadas no art. 10 dessa Lei, deverão obedecer às disposições da LC nº 101/2000.</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Poderes Executivo e Legislativo terão como base de projeção de suas propostas orçamentárias, relativo a pessoal e encargos sociais, a despesa com a folha de pagamento do mês de setembro de 2017, compatibilizada com as despesas apresentadas até esse mês e os eventuais acréscimos legais, inclusive a revisão geral anual da remuneração dos servidores públicos, o crescimento vegetativo, e o disposto no art. 50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2º A revisão geral anual da remuneração dos servidores públicos municipais e do subsídio de que trata o § 4º do art. 39 da Constituição Federal, levará em conta, tanto quanto possível, a variação do poder aquisitivo da moeda nacional, segundo índices oficiais.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48</w:t>
      </w:r>
      <w:r w:rsidRPr="00273032">
        <w:rPr>
          <w:rFonts w:ascii="Palatino Linotype" w:eastAsia="Times New Roman" w:hAnsi="Palatino Linotype" w:cs="Arial"/>
          <w:lang w:eastAsia="pt-BR"/>
        </w:rPr>
        <w:t>. Para fins dos limites previstos no art. 19, inciso III, alíneas “a” e “b” da LC nº 101/2000, o cálculo das despesas com pessoal dos poderes executivo e legislativo deverá observar as prescrições da Instrução Normativa nº 19/2016 do Tribunal de Contas do Estado, ou a norma que lhe for superveniente.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49.</w:t>
      </w:r>
      <w:r w:rsidRPr="00273032">
        <w:rPr>
          <w:rFonts w:ascii="Palatino Linotype" w:eastAsia="Times New Roman" w:hAnsi="Palatino Linotype" w:cs="Arial"/>
          <w:lang w:eastAsia="pt-BR"/>
        </w:rPr>
        <w:t xml:space="preserve"> Para fins de atendimento ao disposto no art. 39, § 6º da Constituição Federal, até 30 dias antes do prazo previsto para envio do Projeto de Lei Orçamentária ao Poder Legislativo, o Poder Executivo publicará os valores do subsídio e da remuneração dos cargos e empregos públicos.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O Poder Legislativo, observará o cumprimento do disposto neste artigo, mediante ato da mesa diretora da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50.</w:t>
      </w:r>
      <w:r w:rsidRPr="00273032">
        <w:rPr>
          <w:rFonts w:ascii="Palatino Linotype" w:eastAsia="Times New Roman" w:hAnsi="Palatino Linotype" w:cs="Arial"/>
          <w:lang w:eastAsia="pt-BR"/>
        </w:rPr>
        <w:t xml:space="preserve"> O aumento da despesa com pessoal, em decorrência de quaisquer das medidas relacionadas no artigo 169, § 1º, da Constituição Federal, desde que observada a legislação vigente, respeitados os limites previstos nos artigos 20 e 22, parágrafo único, da LC nº 101/2000, e cumpridas as exigências previstas nos artigos 16 e 17 do referido diploma legal, fica autorizado para: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conceder vantagens e aumentar a remuneração de servidores;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criar e extinguir cargos públicos e alterar a estrutura de carreiras;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prover cargos efetivos, mediante concurso público, bem como efetuar contratações por tempo determinado para atender à necessidade temporária de excepcional interesse público, respeitada a legislação municipal vigente;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IV – prover cargos em comissão e funções de confiança;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V - melhorar a qualidade do serviço público mediante a valorização do servidor municipal, reconhecendo a função social do seu trabalho;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proporcionar o desenvolvimento profissional de servidores municipais, mediante a realização de programas de treinamento;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proporcionar o desenvolvimento pessoal dos servidores municipais, mediante a realização de programas informativos, educativos e culturais;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VIII - melhorar as condições de trabalho, equipamentos e infraestrutura, especialmente no que concerne à saúde, alimentação, transporte, segurança no trabalho e justa remuneração.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No caso dos incisos I, II, III e IV além dos requisitos estabelecidos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os projetos de lei deverão demonstrar, em sua exposição de motivos, para os efeitos dos artigos 16 e 17 da LC nº 101/2000, as seguintes informações: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I - estimativa do impacto orçamentário-financeiro no exercício em que devam entrar em vigor e nos dois subsequentes, especificando-se os valores a serem acrescidos e o seu acréscimo percentual em relação à Receita Corrente Líquida estimada;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declaração do ordenador de despesas de que há adequação orçamentária e financeira e compatibilidade com esta Lei e com o Plano Plurianual, devendo ser indicadas as naturezas das despesas e os programas de trabalho da Lei Orçamentária Anual que contenha as dotações orçamentárias, detalhando os valores já utilizados e os saldos remanescentes.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No caso de provimento de cargos, salvo quando ocorrer dentro de 06(seis) 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3º No caso de aumento de despesas com pessoal do Poder Legislativo, deverão ser obedecidos, adicionalmente, os limites fixados nos </w:t>
      </w:r>
      <w:proofErr w:type="spellStart"/>
      <w:r w:rsidRPr="00273032">
        <w:rPr>
          <w:rFonts w:ascii="Palatino Linotype" w:eastAsia="Times New Roman" w:hAnsi="Palatino Linotype" w:cs="Arial"/>
          <w:lang w:eastAsia="pt-BR"/>
        </w:rPr>
        <w:t>arts</w:t>
      </w:r>
      <w:proofErr w:type="spellEnd"/>
      <w:r w:rsidRPr="00273032">
        <w:rPr>
          <w:rFonts w:ascii="Palatino Linotype" w:eastAsia="Times New Roman" w:hAnsi="Palatino Linotype" w:cs="Arial"/>
          <w:lang w:eastAsia="pt-BR"/>
        </w:rPr>
        <w:t xml:space="preserve">. 29 e 29-A da Constituição Federal.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Ficam dispensados, da estimativa de impacto orçamentário e financeiro, atos de concessão de vantagens já previstas na legislação pertinente, de caráter meramente declaratório.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51.</w:t>
      </w:r>
      <w:r w:rsidRPr="00273032">
        <w:rPr>
          <w:rFonts w:ascii="Palatino Linotype" w:eastAsia="Times New Roman" w:hAnsi="Palatino Linotype" w:cs="Arial"/>
          <w:lang w:eastAsia="pt-BR"/>
        </w:rPr>
        <w:t xml:space="preserve"> Quando a despesa com pessoal houver ultrapassado 51,3% (cinquenta e um inteiros e três décimos por cento) e 5,7% (cinco inteiros e sete décimos por cento) da Receita Corrente Líquida, respectivamente, no Poder Executivo e Legislativo, a contratação de horas-extras somente poderá ocorrer </w:t>
      </w:r>
      <w:r w:rsidRPr="00273032">
        <w:rPr>
          <w:rFonts w:ascii="Palatino Linotype" w:eastAsia="Times New Roman" w:hAnsi="Palatino Linotype" w:cs="Arial"/>
          <w:lang w:eastAsia="pt-BR"/>
        </w:rPr>
        <w:lastRenderedPageBreak/>
        <w:t xml:space="preserve">quando destinada ao atendimento de situações emergenciais, de risco ou prejuízo para a população, tais como: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situações de emergência ou de calamidade pública;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situações de risco iminente à segurança de pessoas ou bens;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 relação custo-benefício se revelar mais favorável em relação a outra alternativa possível.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autorização para a realização de serviço extraordinário, no âmbito do Poder Executivo, nas condições estabelecidas neste artigo, é de exclusiva competência do Prefeito Municipal.</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4" w:name="_Toc484165659"/>
      <w:r w:rsidRPr="00273032">
        <w:rPr>
          <w:rFonts w:ascii="Palatino Linotype" w:eastAsia="Times New Roman" w:hAnsi="Palatino Linotype" w:cs="Arial"/>
          <w:b/>
          <w:bCs/>
          <w:lang w:eastAsia="pt-BR"/>
        </w:rPr>
        <w:t>Capítulo VIII - Das Alterações na Legislação Tributária</w:t>
      </w:r>
      <w:bookmarkEnd w:id="14"/>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52.</w:t>
      </w:r>
      <w:r w:rsidRPr="00273032">
        <w:rPr>
          <w:rFonts w:ascii="Palatino Linotype" w:eastAsia="Times New Roman" w:hAnsi="Palatino Linotype" w:cs="Arial"/>
          <w:lang w:eastAsia="pt-BR"/>
        </w:rPr>
        <w:t xml:space="preserve"> As receitas serão estimadas e discriminadas: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considerando a legislação tributária vigente até a data do envio do projeto de lei orçamentária à Câmara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considerando, se for o caso, os efeitos das alterações na legislação tributária, resultantes de projetos de lei encaminhados à Câmara Municipal até a data de apresentação da proposta orçamentária de 2018, especialmente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atualização da planta genérica de valores do Município;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revisão, atualização ou adequação da legislação sobre o Imposto Predial e Territorial Urbano, suas alíquotas, forma de cálculo, condições de pagamento, descontos e isenções, inclusive com relação à progressividade desse imposto;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c) revisão da legislação sobre o uso do solo, com redefinição dos limites da zona urbana municipal;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d) revisão da legislação referente ao Imposto Sobre Serviços de Qualquer Natureza;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e) revisão da legislação aplicável ao Imposto Sobre Transmissão Inter Vivos de Bens Imóveis e de Direitos Reais sobre Imóveis;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f) instituição de novas taxas pela prestação de serviços públicos e pelo exercício do poder de polícia;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g) revisão das isenções tributárias, para atender ao interesse público e à justiça social;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h) revisão das contribuições sociais, destinadas à seguridade social, cuja necessidade tenha sido evidenciada através de cálculo atuarial;</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demais incentivos e benefícios fiscais.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53.</w:t>
      </w:r>
      <w:r w:rsidRPr="00273032">
        <w:rPr>
          <w:rFonts w:ascii="Palatino Linotype" w:eastAsia="Times New Roman" w:hAnsi="Palatino Linotype" w:cs="Arial"/>
          <w:lang w:eastAsia="pt-BR"/>
        </w:rPr>
        <w:t xml:space="preserve"> Caso não sejam aprovadas as modificações referidas no inciso II do art. 52, ou essas o sejam parcialmente, de forma a impedir a integralização dos recursos estimados, o Poder Executivo providenciará, conforme o caso, os ajustes necessários na programação da despesa, mediante Decreto.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54.</w:t>
      </w:r>
      <w:r w:rsidRPr="00273032">
        <w:rPr>
          <w:rFonts w:ascii="Palatino Linotype" w:eastAsia="Times New Roman" w:hAnsi="Palatino Linotype" w:cs="Arial"/>
          <w:lang w:eastAsia="pt-BR"/>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aumento de receita proveniente de elevação de alíquota, ampliação da base de cálculo, majoração ou criação de tributo ou contribuição;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b) cancelamento, durante o período em que vigorar o benefício, de despesas em valor equivalente. </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w:t>
      </w:r>
      <w:r w:rsidRPr="00273032">
        <w:rPr>
          <w:rFonts w:ascii="Palatino Linotype" w:eastAsia="Times New Roman" w:hAnsi="Palatino Linotype" w:cs="Arial"/>
          <w:lang w:val="pt-PT" w:eastAsia="pt-PT"/>
        </w:rPr>
        <w:t xml:space="preserve">a variação do Índice Nacional de Preços ao Consumidor Amplo calculado pela Fundação Instituto Brasileiro de Geografia e Estatística - IBGE. </w:t>
      </w:r>
    </w:p>
    <w:p w:rsidR="00273032" w:rsidRPr="00273032" w:rsidRDefault="00273032" w:rsidP="00273032">
      <w:pPr>
        <w:spacing w:after="0" w:line="240" w:lineRule="auto"/>
        <w:ind w:firstLine="4253"/>
        <w:jc w:val="both"/>
        <w:rPr>
          <w:rFonts w:ascii="Palatino Linotype" w:eastAsia="Times New Roman" w:hAnsi="Palatino Linotype" w:cs="Arial"/>
        </w:rPr>
      </w:pPr>
      <w:r w:rsidRPr="00273032">
        <w:rPr>
          <w:rFonts w:ascii="Palatino Linotype" w:eastAsia="Times New Roman" w:hAnsi="Palatino Linotype" w:cs="Arial"/>
          <w:lang w:eastAsia="pt-BR"/>
        </w:rPr>
        <w:t>§ 3º Não se sujeita às regras do §1º a homologação de pedidos de isenção, remissão ou anistia apresentados com base na legislação municipal preexistente.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55.</w:t>
      </w:r>
      <w:r w:rsidRPr="00273032">
        <w:rPr>
          <w:rFonts w:ascii="Palatino Linotype" w:eastAsia="Times New Roman" w:hAnsi="Palatino Linotype" w:cs="Arial"/>
          <w:lang w:eastAsia="pt-BR"/>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w:t>
      </w:r>
    </w:p>
    <w:p w:rsidR="00273032" w:rsidRPr="00273032" w:rsidRDefault="00273032" w:rsidP="00273032">
      <w:pPr>
        <w:spacing w:after="0" w:line="240" w:lineRule="auto"/>
        <w:rPr>
          <w:rFonts w:ascii="Palatino Linotype" w:eastAsia="Times New Roman" w:hAnsi="Palatino Linotype" w:cs="Arial"/>
          <w:lang w:eastAsia="pt-BR"/>
        </w:rPr>
      </w:pPr>
      <w:bookmarkStart w:id="15" w:name="_Toc484165660"/>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Capítulo IX - Das Disposições Relativas ao Regime de</w:t>
      </w:r>
    </w:p>
    <w:p w:rsidR="00273032" w:rsidRPr="00273032" w:rsidRDefault="00273032" w:rsidP="00273032">
      <w:pPr>
        <w:spacing w:after="0" w:line="240" w:lineRule="auto"/>
        <w:jc w:val="center"/>
        <w:rPr>
          <w:rFonts w:ascii="Palatino Linotype" w:eastAsia="Times New Roman" w:hAnsi="Palatino Linotype" w:cs="Arial"/>
          <w:b/>
          <w:bCs/>
          <w:lang w:eastAsia="pt-BR"/>
        </w:rPr>
      </w:pPr>
      <w:r w:rsidRPr="00273032">
        <w:rPr>
          <w:rFonts w:ascii="Palatino Linotype" w:eastAsia="Times New Roman" w:hAnsi="Palatino Linotype" w:cs="Arial"/>
          <w:b/>
          <w:bCs/>
          <w:lang w:eastAsia="pt-BR"/>
        </w:rPr>
        <w:t>Execução das Emendas Individuais</w:t>
      </w:r>
      <w:bookmarkEnd w:id="15"/>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lastRenderedPageBreak/>
        <w:t>Art. 56.</w:t>
      </w:r>
      <w:r w:rsidRPr="00273032">
        <w:rPr>
          <w:rFonts w:ascii="Palatino Linotype" w:eastAsia="Times New Roman" w:hAnsi="Palatino Linotype" w:cs="Arial"/>
          <w:lang w:eastAsia="pt-BR"/>
        </w:rPr>
        <w:t xml:space="preserve"> O regime de execução das emendas individuais ao projeto de lei orçamentária de que tratam os §§ 9º a 18 do art. 166 da Constituição da República atenderão ao disposto neste Capítulo.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57.</w:t>
      </w:r>
      <w:r w:rsidRPr="00273032">
        <w:rPr>
          <w:rFonts w:ascii="Palatino Linotype" w:eastAsia="Times New Roman" w:hAnsi="Palatino Linotype" w:cs="Arial"/>
          <w:lang w:eastAsia="pt-BR"/>
        </w:rPr>
        <w:t xml:space="preserve"> É obrigatória a execução orçamentária e financeira, de forma equitativa, das programações decorrentes de emendas individuais aprovadas ao projeto de lei orçamentária, observado os limites estabelecidos no § 9º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Considera-se execução equitativa a execução das programações que atenda, de forma igualitária e impessoal, as emendas apresentadas, independentemente da autoria.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 obrigatoriedade de execução orçamentária e financeira de que trata o caput compreende, cumulativamente, o empenho e o pagamento, observado o disposto no §16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Se, durante o exercício financeiro de 2018,  for verificada a frustração de receitas na forma estabelecida pelos §§3° e 4º do art. 2º desta Lei, o montante previsto no art. 58 poderá ser reduzido na mesma proporção.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§4º Será considerada como não aprovada, a emenda individual que exceda os limites estabelecidos pelo § 6º do art. 166 da Constituição da República, sendo os recursos correspondentes revertidos à reserva de contingência de que trata o art. 58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58.</w:t>
      </w:r>
      <w:r w:rsidRPr="00273032">
        <w:rPr>
          <w:rFonts w:ascii="Palatino Linotype" w:eastAsia="Times New Roman" w:hAnsi="Palatino Linotype" w:cs="Arial"/>
          <w:lang w:eastAsia="pt-BR"/>
        </w:rPr>
        <w:t xml:space="preserve"> Para fins de atendimento ao disposto no art. 57, sem prejuízo da redução prevista no seu § 3º, o Projeto de Lei Orçamentária de 2018 conterá reserva de contingência específica em valor equivalente 1,2% (um inteiro e dois décimos por cento) da receita corrente líquida de 2017, a qual deverá ser indicada como fonte de recursos para a aprovação das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Parágrafo único. Para fins de cálculo do valor de que trata o caput, considerar-se-á a receita arrecadada até o último mês anterior ao prazo para a entrega da proposta orçamentária, acrescida da tendência de arrecadação até o final do exercício.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59.</w:t>
      </w:r>
      <w:r w:rsidRPr="00273032">
        <w:rPr>
          <w:rFonts w:ascii="Palatino Linotype" w:eastAsia="Times New Roman" w:hAnsi="Palatino Linotype" w:cs="Arial"/>
          <w:lang w:eastAsia="pt-BR"/>
        </w:rPr>
        <w:t xml:space="preserve"> Para fins do disposto no § 12 do art. 166 da Constituição, consideram-se impedimentos de ordem técnica: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não indicação, pelo autor da emenda individual, quando for o caso, do beneficiário e respectivo valor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não cumprimento pela entidade beneficiária, dos requisitos estabelecidos na Seção V do Capítulo V desta Lei, no caso de emendas que proponham transferências de recursos sob a forma de subvenções, auxílios ou contribuições;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desistência expressa do autor da emenda;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IV - incompatibilidade do objeto da emenda com a finalidade do programa ou da ação orçamentária emendada;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 – no caso de emendas relativas à execução de obras, incompatibilidade do valor proposto com o cronograma físico financeiro de execução do projeto;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 – a aprovação de emenda individual que conceda dotação para instalação ou funcionamento de serviço público que não esteja anteriormente criado por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VII – a não indicação da Reserva de Contingência referida no art. 58 desta Lei como fonte de recursos para as emendas individuais;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1º os casos de impedimentos de ordem técnica que trata este artigo serão comunicados formalmente pelo Poder Executivo, observado o disposto no § 14 do art. 166 da Constituição.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As dotações orçamentárias relativas às emendas individuais que permanecerem com impedimento técnico após 20 de novembro de 2018 poderão ser utilizadas como fonte de recursos para a abertura de créditos adicionais, na forma da Lei Federal nº 4.320, de 1964.</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60.</w:t>
      </w:r>
      <w:r w:rsidRPr="00273032">
        <w:rPr>
          <w:rFonts w:ascii="Palatino Linotype" w:eastAsia="Times New Roman" w:hAnsi="Palatino Linotype" w:cs="Arial"/>
          <w:lang w:eastAsia="pt-BR"/>
        </w:rPr>
        <w:t xml:space="preserve"> Caberá à contabilidade do Município, através de registros contábeis específicos, ou através de codificação a ser introduzida no sistema de execução financeira e orçamentária, identificar e acompanhar a execução orçamentária da programação incluída ou acrescida mediante emendas de que trata esta Seção.</w:t>
      </w:r>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jc w:val="center"/>
        <w:rPr>
          <w:rFonts w:ascii="Palatino Linotype" w:eastAsia="Times New Roman" w:hAnsi="Palatino Linotype" w:cs="Arial"/>
          <w:b/>
          <w:bCs/>
          <w:lang w:eastAsia="pt-BR"/>
        </w:rPr>
      </w:pPr>
      <w:bookmarkStart w:id="16" w:name="_Toc484165661"/>
      <w:r w:rsidRPr="00273032">
        <w:rPr>
          <w:rFonts w:ascii="Palatino Linotype" w:eastAsia="Times New Roman" w:hAnsi="Palatino Linotype" w:cs="Arial"/>
          <w:b/>
          <w:bCs/>
          <w:lang w:eastAsia="pt-BR"/>
        </w:rPr>
        <w:t>Capítulo X - Das Disposições Gerais</w:t>
      </w:r>
      <w:bookmarkEnd w:id="16"/>
    </w:p>
    <w:p w:rsidR="00273032" w:rsidRPr="00273032" w:rsidRDefault="00273032" w:rsidP="00273032">
      <w:pPr>
        <w:spacing w:after="0" w:line="240" w:lineRule="auto"/>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61.</w:t>
      </w:r>
      <w:r w:rsidRPr="00273032">
        <w:rPr>
          <w:rFonts w:ascii="Palatino Linotype" w:eastAsia="Times New Roman" w:hAnsi="Palatino Linotype" w:cs="Arial"/>
          <w:lang w:eastAsia="pt-BR"/>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Parágrafo único.</w:t>
      </w:r>
      <w:r w:rsidRPr="00273032">
        <w:rPr>
          <w:rFonts w:ascii="Palatino Linotype" w:eastAsia="Times New Roman" w:hAnsi="Palatino Linotype" w:cs="Arial"/>
          <w:lang w:eastAsia="pt-BR"/>
        </w:rPr>
        <w:t xml:space="preserve"> A Lei Orçamentária anual, ou seus créditos adicionais, deverão contemplar recursos orçamentários suficientes para o atendimento das despesas de que trata 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62.</w:t>
      </w:r>
      <w:r w:rsidRPr="00273032">
        <w:rPr>
          <w:rFonts w:ascii="Palatino Linotype" w:eastAsia="Times New Roman" w:hAnsi="Palatino Linotype" w:cs="Arial"/>
          <w:lang w:eastAsia="pt-BR"/>
        </w:rPr>
        <w:t xml:space="preserve"> As emendas ao projeto de lei orçamentária ou aos projetos de lei que a modifiquem deverão ser compatíveis com os programas e objetivos da Lei nº 2.908 de 09 de setembro de 2017 - Plano Plurianual 2018/2021 e com as diretrizes, disposições, prioridades e metas desta Lei.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lastRenderedPageBreak/>
        <w:t>§ 1º Não serão admitidas, com a ressalva do inciso III do § 3º do art. 166 da Constituição Federal, as emendas que incidam sobre: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a) pessoal e encargos sociais 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b) serviço da dívida.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 Para fins do disposto no § 3º, inciso I, do art. 166 da Constituição, serão consideradas incompatíveis com 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 - as emendas que acarretem a aplicação de recursos abaixo dos limites constitucionais mínimos previstos para os gastos com a manutenção e desenvolvimento do ensino e com as ações e serviços públicos de saúde;</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 - as emendas que não preservem as dotações destinadas ao pagamento de sentenças judiciais;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III – as emendas que reduzam o montante de dotações suportadas por recursos oriundos de transferências legais ou  voluntárias da União e do Estado, alienação de bens e operações de crédito;</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3º Para fins do disposto no art. 166, § 8º, da Constituição Federal, serão levados à reserva de contingência referida no inciso I do art. 14 os recursos que, em decorrência de veto, emenda ou rejeição do projeto da Lei Orçamentária Anual de 2018, ficarem sem despesas correspondentes.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4º O disposto neste artigo aplica-se no que couber às emendas sujeitas ao regime de execução de que trata o Capitulo IX desta lei.</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 xml:space="preserve"> Art. 63.</w:t>
      </w:r>
      <w:r w:rsidRPr="00273032">
        <w:rPr>
          <w:rFonts w:ascii="Palatino Linotype" w:eastAsia="Times New Roman" w:hAnsi="Palatino Linotype" w:cs="Arial"/>
          <w:lang w:eastAsia="pt-BR"/>
        </w:rPr>
        <w:t xml:space="preserve"> Por meio da Secretaria Municipal de Finanças,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64.</w:t>
      </w:r>
      <w:r w:rsidRPr="00273032">
        <w:rPr>
          <w:rFonts w:ascii="Palatino Linotype" w:eastAsia="Times New Roman" w:hAnsi="Palatino Linotype" w:cs="Arial"/>
          <w:lang w:eastAsia="pt-BR"/>
        </w:rPr>
        <w:t xml:space="preserve"> Em consonância com o que dispõe o § 5º do art. 166 da Constituição Federal e o art. 78 da Lei Orgânica Municipal, poderá o Prefeito enviar Mensagem à Câmara Municipal para propor modificações aos projetos de lei orçamentária enquanto não estiver concluída a votação da parte cuja alteração é proposta.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w:t>
      </w:r>
      <w:r w:rsidRPr="00273032">
        <w:rPr>
          <w:rFonts w:ascii="Palatino Linotype" w:eastAsia="Times New Roman" w:hAnsi="Palatino Linotype" w:cs="Arial"/>
          <w:b/>
          <w:lang w:eastAsia="pt-BR"/>
        </w:rPr>
        <w:t>Art. 65.</w:t>
      </w:r>
      <w:r w:rsidRPr="00273032">
        <w:rPr>
          <w:rFonts w:ascii="Palatino Linotype" w:eastAsia="Times New Roman" w:hAnsi="Palatino Linotype" w:cs="Arial"/>
          <w:lang w:eastAsia="pt-BR"/>
        </w:rPr>
        <w:t xml:space="preserve"> Se o projeto de lei orçamentária não for aprovado até 31 de dezembro de 2017,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xml:space="preserve">§ 1º Excetuam-se do disposto no </w:t>
      </w:r>
      <w:r w:rsidRPr="00273032">
        <w:rPr>
          <w:rFonts w:ascii="Palatino Linotype" w:eastAsia="Times New Roman" w:hAnsi="Palatino Linotype" w:cs="Arial"/>
          <w:i/>
          <w:lang w:eastAsia="pt-BR"/>
        </w:rPr>
        <w:t>caput</w:t>
      </w:r>
      <w:r w:rsidRPr="00273032">
        <w:rPr>
          <w:rFonts w:ascii="Palatino Linotype" w:eastAsia="Times New Roman" w:hAnsi="Palatino Linotype" w:cs="Arial"/>
          <w:lang w:eastAsia="pt-BR"/>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w:t>
      </w:r>
      <w:r w:rsidRPr="00273032">
        <w:rPr>
          <w:rFonts w:ascii="Palatino Linotype" w:eastAsia="Times New Roman" w:hAnsi="Palatino Linotype" w:cs="Arial"/>
          <w:lang w:eastAsia="pt-BR"/>
        </w:rPr>
        <w:lastRenderedPageBreak/>
        <w:t>executadas segundo suas necessidades específicas e a efetiva disponibilidade de recursos.</w:t>
      </w: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lang w:eastAsia="pt-BR"/>
        </w:rPr>
        <w:t>§ 2º</w:t>
      </w:r>
      <w:r>
        <w:rPr>
          <w:rFonts w:ascii="Palatino Linotype" w:eastAsia="Times New Roman" w:hAnsi="Palatino Linotype" w:cs="Arial"/>
          <w:lang w:eastAsia="pt-BR"/>
        </w:rPr>
        <w:t xml:space="preserve"> </w:t>
      </w:r>
      <w:r w:rsidRPr="00273032">
        <w:rPr>
          <w:rFonts w:ascii="Palatino Linotype" w:eastAsia="Times New Roman" w:hAnsi="Palatino Linotype" w:cs="Arial"/>
          <w:lang w:eastAsia="pt-BR"/>
        </w:rPr>
        <w:t>Não será interrompido o processamento de despesas com obras em andamento.</w:t>
      </w:r>
    </w:p>
    <w:p w:rsidR="00273032" w:rsidRPr="00273032" w:rsidRDefault="00273032" w:rsidP="00273032">
      <w:pPr>
        <w:spacing w:after="0" w:line="240" w:lineRule="auto"/>
        <w:ind w:firstLine="4253"/>
        <w:jc w:val="both"/>
        <w:rPr>
          <w:rFonts w:ascii="Palatino Linotype" w:eastAsia="Times New Roman" w:hAnsi="Palatino Linotype" w:cs="Arial"/>
          <w:lang w:val="pt-PT" w:eastAsia="pt-PT"/>
        </w:rPr>
      </w:pPr>
      <w:r w:rsidRPr="00273032">
        <w:rPr>
          <w:rFonts w:ascii="Palatino Linotype" w:eastAsia="Times New Roman" w:hAnsi="Palatino Linotype" w:cs="Arial"/>
          <w:lang w:eastAsia="pt-BR"/>
        </w:rPr>
        <w:t xml:space="preserve">§ 3º Enquanto não aprovada a Lei Orçamentária de 2018, os valores consignados no respectivo </w:t>
      </w:r>
      <w:r w:rsidRPr="00273032">
        <w:rPr>
          <w:rFonts w:ascii="Palatino Linotype" w:eastAsia="Times New Roman" w:hAnsi="Palatino Linotype" w:cs="Arial"/>
          <w:lang w:val="pt-PT" w:eastAsia="pt-PT"/>
        </w:rPr>
        <w:t xml:space="preserve">Projeto de Lei poderão ser utilizados para demonstrar, quando exigível, a previsão orçamentária nos procedimentos referentes à fase interna da licitação. </w:t>
      </w:r>
    </w:p>
    <w:p w:rsidR="00273032" w:rsidRPr="00273032" w:rsidRDefault="00273032" w:rsidP="00273032">
      <w:pPr>
        <w:spacing w:after="0" w:line="240" w:lineRule="auto"/>
        <w:ind w:firstLine="4253"/>
        <w:jc w:val="both"/>
        <w:rPr>
          <w:rFonts w:ascii="Palatino Linotype" w:eastAsia="Times New Roman" w:hAnsi="Palatino Linotype" w:cs="Arial"/>
        </w:rPr>
      </w:pPr>
    </w:p>
    <w:p w:rsidR="00273032" w:rsidRPr="00273032" w:rsidRDefault="00273032" w:rsidP="00273032">
      <w:pPr>
        <w:spacing w:after="0" w:line="240" w:lineRule="auto"/>
        <w:ind w:firstLine="4253"/>
        <w:jc w:val="both"/>
        <w:rPr>
          <w:rFonts w:ascii="Palatino Linotype" w:eastAsia="Times New Roman" w:hAnsi="Palatino Linotype" w:cs="Arial"/>
          <w:lang w:eastAsia="pt-BR"/>
        </w:rPr>
      </w:pPr>
      <w:r w:rsidRPr="00273032">
        <w:rPr>
          <w:rFonts w:ascii="Palatino Linotype" w:eastAsia="Times New Roman" w:hAnsi="Palatino Linotype" w:cs="Arial"/>
          <w:b/>
          <w:lang w:eastAsia="pt-BR"/>
        </w:rPr>
        <w:t>Art. 66.</w:t>
      </w:r>
      <w:r w:rsidRPr="00273032">
        <w:rPr>
          <w:rFonts w:ascii="Palatino Linotype" w:eastAsia="Times New Roman" w:hAnsi="Palatino Linotype" w:cs="Arial"/>
          <w:lang w:eastAsia="pt-BR"/>
        </w:rPr>
        <w:t xml:space="preserve"> Esta Lei entra em vigor na data de sua publicação.</w:t>
      </w:r>
    </w:p>
    <w:p w:rsidR="00273032" w:rsidRPr="00273032" w:rsidRDefault="00273032" w:rsidP="00273032">
      <w:pPr>
        <w:spacing w:after="0" w:line="240" w:lineRule="auto"/>
        <w:ind w:firstLine="4253"/>
        <w:jc w:val="both"/>
        <w:rPr>
          <w:rFonts w:ascii="Palatino Linotype" w:eastAsia="Times New Roman" w:hAnsi="Palatino Linotype" w:cs="Times New Roman"/>
          <w:b/>
          <w:bCs/>
          <w:lang w:eastAsia="x-none"/>
        </w:rPr>
      </w:pPr>
    </w:p>
    <w:p w:rsidR="00273032" w:rsidRPr="00D42ECC" w:rsidRDefault="00273032" w:rsidP="00D42ECC">
      <w:pPr>
        <w:pBdr>
          <w:bottom w:val="single" w:sz="12" w:space="1" w:color="auto"/>
        </w:pBdr>
        <w:spacing w:after="0" w:line="240" w:lineRule="auto"/>
        <w:ind w:firstLine="4253"/>
        <w:jc w:val="both"/>
        <w:rPr>
          <w:rFonts w:ascii="Palatino Linotype" w:eastAsia="Times New Roman" w:hAnsi="Palatino Linotype" w:cs="Times New Roman"/>
          <w:b/>
          <w:bCs/>
          <w:lang w:eastAsia="x-none"/>
        </w:rPr>
      </w:pPr>
      <w:r w:rsidRPr="00273032">
        <w:rPr>
          <w:rFonts w:ascii="Palatino Linotype" w:eastAsia="Times New Roman" w:hAnsi="Palatino Linotype" w:cs="Times New Roman"/>
          <w:b/>
          <w:bCs/>
          <w:lang w:val="x-none" w:eastAsia="x-none"/>
        </w:rPr>
        <w:t>GABINETE D</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PREFEIT</w:t>
      </w:r>
      <w:r w:rsidRPr="00273032">
        <w:rPr>
          <w:rFonts w:ascii="Palatino Linotype" w:eastAsia="Times New Roman" w:hAnsi="Palatino Linotype" w:cs="Times New Roman"/>
          <w:b/>
          <w:bCs/>
          <w:lang w:eastAsia="x-none"/>
        </w:rPr>
        <w:t>O</w:t>
      </w:r>
      <w:r w:rsidRPr="00273032">
        <w:rPr>
          <w:rFonts w:ascii="Palatino Linotype" w:eastAsia="Times New Roman" w:hAnsi="Palatino Linotype" w:cs="Times New Roman"/>
          <w:b/>
          <w:bCs/>
          <w:lang w:val="x-none" w:eastAsia="x-none"/>
        </w:rPr>
        <w:t xml:space="preserve"> MUNICIPAL DE SÃO MARTINHO/RS, AOS </w:t>
      </w:r>
      <w:r>
        <w:rPr>
          <w:rFonts w:ascii="Palatino Linotype" w:eastAsia="Times New Roman" w:hAnsi="Palatino Linotype" w:cs="Times New Roman"/>
          <w:b/>
          <w:bCs/>
          <w:lang w:eastAsia="x-none"/>
        </w:rPr>
        <w:t>21</w:t>
      </w:r>
      <w:r w:rsidRPr="00273032">
        <w:rPr>
          <w:rFonts w:ascii="Palatino Linotype" w:eastAsia="Times New Roman" w:hAnsi="Palatino Linotype" w:cs="Times New Roman"/>
          <w:b/>
          <w:bCs/>
          <w:lang w:eastAsia="x-none"/>
        </w:rPr>
        <w:t xml:space="preserve"> </w:t>
      </w:r>
      <w:r w:rsidRPr="00273032">
        <w:rPr>
          <w:rFonts w:ascii="Palatino Linotype" w:eastAsia="Times New Roman" w:hAnsi="Palatino Linotype" w:cs="Times New Roman"/>
          <w:b/>
          <w:bCs/>
          <w:lang w:val="x-none" w:eastAsia="x-none"/>
        </w:rPr>
        <w:t xml:space="preserve">DIAS DO MÊS DE </w:t>
      </w:r>
      <w:r>
        <w:rPr>
          <w:rFonts w:ascii="Palatino Linotype" w:eastAsia="Times New Roman" w:hAnsi="Palatino Linotype" w:cs="Times New Roman"/>
          <w:b/>
          <w:bCs/>
          <w:lang w:eastAsia="x-none"/>
        </w:rPr>
        <w:t>NOVEM</w:t>
      </w:r>
      <w:r w:rsidRPr="00273032">
        <w:rPr>
          <w:rFonts w:ascii="Palatino Linotype" w:eastAsia="Times New Roman" w:hAnsi="Palatino Linotype" w:cs="Times New Roman"/>
          <w:b/>
          <w:bCs/>
          <w:lang w:eastAsia="x-none"/>
        </w:rPr>
        <w:t>BRO</w:t>
      </w:r>
      <w:r w:rsidRPr="00273032">
        <w:rPr>
          <w:rFonts w:ascii="Palatino Linotype" w:eastAsia="Times New Roman" w:hAnsi="Palatino Linotype" w:cs="Times New Roman"/>
          <w:b/>
          <w:bCs/>
          <w:lang w:val="x-none" w:eastAsia="x-none"/>
        </w:rPr>
        <w:t xml:space="preserve"> DO ANO DE 201</w:t>
      </w:r>
      <w:r w:rsidRPr="00273032">
        <w:rPr>
          <w:rFonts w:ascii="Palatino Linotype" w:eastAsia="Times New Roman" w:hAnsi="Palatino Linotype" w:cs="Times New Roman"/>
          <w:b/>
          <w:bCs/>
          <w:lang w:eastAsia="x-none"/>
        </w:rPr>
        <w:t>7</w:t>
      </w:r>
      <w:r w:rsidRPr="00273032">
        <w:rPr>
          <w:rFonts w:ascii="Palatino Linotype" w:eastAsia="Times New Roman" w:hAnsi="Palatino Linotype" w:cs="Times New Roman"/>
          <w:b/>
          <w:bCs/>
          <w:lang w:val="x-none" w:eastAsia="x-none"/>
        </w:rPr>
        <w:t>.</w:t>
      </w:r>
    </w:p>
    <w:p w:rsidR="00D42ECC" w:rsidRPr="00D42ECC" w:rsidRDefault="00D42ECC" w:rsidP="00D42ECC">
      <w:pPr>
        <w:spacing w:after="0" w:line="240" w:lineRule="auto"/>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Registra-se e Publica-se</w:t>
      </w:r>
      <w:r w:rsidR="004D0F81">
        <w:rPr>
          <w:rFonts w:ascii="Palatino Linotype" w:eastAsia="Times New Roman" w:hAnsi="Palatino Linotype" w:cs="Times New Roman"/>
          <w:lang w:eastAsia="pt-BR"/>
        </w:rPr>
        <w:t>:</w:t>
      </w:r>
    </w:p>
    <w:p w:rsidR="00D42ECC" w:rsidRDefault="00D42ECC" w:rsidP="00D42ECC">
      <w:pPr>
        <w:spacing w:after="0" w:line="240" w:lineRule="auto"/>
        <w:rPr>
          <w:rFonts w:ascii="Palatino Linotype" w:eastAsia="Times New Roman" w:hAnsi="Palatino Linotype" w:cs="Times New Roman"/>
          <w:lang w:eastAsia="pt-BR"/>
        </w:rPr>
      </w:pPr>
    </w:p>
    <w:p w:rsid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ind w:left="4253"/>
        <w:jc w:val="center"/>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MARINO KREWER</w:t>
      </w:r>
    </w:p>
    <w:p w:rsidR="00D42ECC" w:rsidRPr="00D42ECC" w:rsidRDefault="00D42ECC" w:rsidP="00D42ECC">
      <w:pPr>
        <w:spacing w:after="0" w:line="240" w:lineRule="auto"/>
        <w:ind w:left="4253"/>
        <w:jc w:val="center"/>
        <w:rPr>
          <w:rFonts w:ascii="Palatino Linotype" w:eastAsia="Times New Roman" w:hAnsi="Palatino Linotype" w:cs="Times New Roman"/>
          <w:lang w:eastAsia="pt-BR"/>
        </w:rPr>
      </w:pPr>
      <w:r w:rsidRPr="00D42ECC">
        <w:rPr>
          <w:rFonts w:ascii="Palatino Linotype" w:eastAsia="Times New Roman" w:hAnsi="Palatino Linotype" w:cs="Times New Roman"/>
          <w:lang w:eastAsia="pt-BR"/>
        </w:rPr>
        <w:t>Prefeito Municipal</w:t>
      </w:r>
    </w:p>
    <w:p w:rsidR="00D42ECC" w:rsidRPr="00D42ECC" w:rsidRDefault="00D42ECC" w:rsidP="00D42ECC">
      <w:pPr>
        <w:spacing w:after="0" w:line="240" w:lineRule="auto"/>
        <w:rPr>
          <w:rFonts w:ascii="Palatino Linotype" w:eastAsia="Times New Roman" w:hAnsi="Palatino Linotype" w:cs="Times New Roman"/>
          <w:lang w:eastAsia="pt-BR"/>
        </w:rPr>
      </w:pPr>
    </w:p>
    <w:p w:rsidR="00D42ECC" w:rsidRPr="00D42ECC" w:rsidRDefault="00D42ECC" w:rsidP="00D42ECC">
      <w:pPr>
        <w:spacing w:after="0" w:line="240" w:lineRule="auto"/>
        <w:rPr>
          <w:rFonts w:ascii="Palatino Linotype" w:eastAsia="Times New Roman" w:hAnsi="Palatino Linotype" w:cs="Times New Roman"/>
          <w:b/>
          <w:lang w:eastAsia="pt-BR"/>
        </w:rPr>
      </w:pPr>
      <w:r w:rsidRPr="00D42ECC">
        <w:rPr>
          <w:rFonts w:ascii="Palatino Linotype" w:eastAsia="Times New Roman" w:hAnsi="Palatino Linotype" w:cs="Times New Roman"/>
          <w:b/>
          <w:lang w:eastAsia="pt-BR"/>
        </w:rPr>
        <w:t>DIOGO SAMUEL RITTER</w:t>
      </w:r>
    </w:p>
    <w:p w:rsidR="00D42ECC" w:rsidRPr="00D42ECC" w:rsidRDefault="00D42ECC" w:rsidP="00D42ECC">
      <w:pPr>
        <w:spacing w:after="0" w:line="240" w:lineRule="auto"/>
        <w:rPr>
          <w:rFonts w:ascii="Palatino Linotype" w:eastAsia="Times New Roman" w:hAnsi="Palatino Linotype" w:cs="Times New Roman"/>
          <w:lang w:eastAsia="pt-BR"/>
        </w:rPr>
      </w:pPr>
      <w:r>
        <w:rPr>
          <w:rFonts w:ascii="Palatino Linotype" w:eastAsia="Times New Roman" w:hAnsi="Palatino Linotype" w:cs="Times New Roman"/>
          <w:lang w:eastAsia="pt-BR"/>
        </w:rPr>
        <w:t>Secretá</w:t>
      </w:r>
      <w:r w:rsidRPr="00D42ECC">
        <w:rPr>
          <w:rFonts w:ascii="Palatino Linotype" w:eastAsia="Times New Roman" w:hAnsi="Palatino Linotype" w:cs="Times New Roman"/>
          <w:lang w:eastAsia="pt-BR"/>
        </w:rPr>
        <w:t>rio Municipal de Administração</w:t>
      </w:r>
    </w:p>
    <w:p w:rsidR="006628CE" w:rsidRDefault="006628CE"/>
    <w:sectPr w:rsidR="006628CE" w:rsidSect="00273032">
      <w:pgSz w:w="11906" w:h="16838"/>
      <w:pgMar w:top="241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8B1"/>
    <w:rsid w:val="000968B1"/>
    <w:rsid w:val="00273032"/>
    <w:rsid w:val="0039043F"/>
    <w:rsid w:val="004B02EC"/>
    <w:rsid w:val="004D0F81"/>
    <w:rsid w:val="006628CE"/>
    <w:rsid w:val="00C357B1"/>
    <w:rsid w:val="00D42EC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AA58A-874A-4C46-9CB8-47E5780DF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10321</Words>
  <Characters>55736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Prefeitura</cp:lastModifiedBy>
  <cp:revision>2</cp:revision>
  <dcterms:created xsi:type="dcterms:W3CDTF">2017-12-20T16:33:00Z</dcterms:created>
  <dcterms:modified xsi:type="dcterms:W3CDTF">2017-12-20T16:33:00Z</dcterms:modified>
</cp:coreProperties>
</file>